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media/image2.jpeg" ContentType="image/jpeg"/>
  <Override PartName="/word/media/image3.jpeg" ContentType="image/jpeg"/>
  <Override PartName="/word/media/image4.jpeg" ContentType="image/jpeg"/>
  <Override PartName="/word/media/image5.png" ContentType="image/pn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idefault"/>
        <w:keepNext w:val="true"/>
        <w:numPr>
          <w:ilvl w:val="0"/>
          <w:numId w:val="0"/>
        </w:numPr>
        <w:tabs>
          <w:tab w:val="clear" w:pos="708"/>
          <w:tab w:val="right" w:pos="9612" w:leader="none"/>
        </w:tabs>
        <w:spacing w:lineRule="auto" w:line="240" w:before="0" w:after="0"/>
        <w:ind w:hanging="0" w:left="0"/>
        <w:jc w:val="both"/>
        <w:outlineLvl w:val="0"/>
        <w:rPr>
          <w:rFonts w:ascii="Times New Roman" w:hAnsi="Times New Roman"/>
          <w:b/>
          <w:bCs/>
          <w:u w:val="single" w:color="000000"/>
        </w:rPr>
      </w:pPr>
      <w:r>
        <w:rPr>
          <w:rFonts w:ascii="Times New Roman" w:hAnsi="Times New Roman"/>
          <w:b/>
          <w:bCs/>
          <w:u w:val="single" w:color="000000"/>
        </w:rPr>
      </w:r>
    </w:p>
    <w:p>
      <w:pPr>
        <w:pStyle w:val="Didefault"/>
        <w:keepNext w:val="true"/>
        <w:numPr>
          <w:ilvl w:val="0"/>
          <w:numId w:val="0"/>
        </w:numPr>
        <w:tabs>
          <w:tab w:val="clear" w:pos="708"/>
          <w:tab w:val="right" w:pos="9612" w:leader="none"/>
        </w:tabs>
        <w:spacing w:lineRule="auto" w:line="240" w:before="0" w:after="0"/>
        <w:ind w:hanging="0" w:left="0"/>
        <w:jc w:val="both"/>
        <w:outlineLvl w:val="0"/>
        <w:rPr/>
      </w:pPr>
      <w:r>
        <w:rPr>
          <w:rFonts w:ascii="Times New Roman" w:hAnsi="Times New Roman"/>
          <w:b/>
          <w:bCs/>
          <w:u w:val="single" w:color="000000"/>
        </w:rPr>
        <w:t>COMUNICATO STAMPA</w:t>
      </w:r>
      <w:r>
        <w:rPr>
          <w:rFonts w:eastAsia="Times New Roman" w:cs="Times New Roman" w:ascii="Times New Roman" w:hAnsi="Times New Roman"/>
          <w:b/>
          <w:bCs/>
          <w:u w:val="none" w:color="000000"/>
        </w:rPr>
        <w:tab/>
        <w:t>Venezia, maggio 2026</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rPr>
          <w:rFonts w:ascii="Times New Roman" w:hAnsi="Times New Roman" w:eastAsia="Times New Roman" w:cs="Times New Roman"/>
          <w:b/>
          <w:bCs/>
          <w:sz w:val="28"/>
          <w:szCs w:val="28"/>
          <w:u w:val="none" w:color="000000"/>
        </w:rPr>
      </w:pPr>
      <w:r>
        <w:rPr>
          <w:rFonts w:eastAsia="Times New Roman" w:cs="Times New Roman" w:ascii="Times New Roman" w:hAnsi="Times New Roman"/>
          <w:b/>
          <w:bCs/>
          <w:sz w:val="28"/>
          <w:szCs w:val="28"/>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t>Corrado Rovaris</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t xml:space="preserve">dirige l’Orchestra del Teatro La Fenice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t>al Malibran</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b/>
          <w:bCs/>
          <w:sz w:val="32"/>
          <w:szCs w:val="32"/>
          <w:u w:val="none" w:color="000000"/>
        </w:rPr>
      </w:pPr>
      <w:r>
        <w:rPr>
          <w:rFonts w:ascii="Times New Roman" w:hAnsi="Times New Roman"/>
          <w:b/>
          <w:bCs/>
          <w:sz w:val="32"/>
          <w:szCs w:val="32"/>
          <w:u w:val="none" w:color="000000"/>
        </w:rPr>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sz w:val="32"/>
          <w:szCs w:val="32"/>
          <w:u w:val="none" w:color="000000"/>
        </w:rPr>
      </w:pPr>
      <w:r>
        <w:rPr>
          <w:rFonts w:ascii="Times New Roman" w:hAnsi="Times New Roman"/>
          <w:sz w:val="32"/>
          <w:szCs w:val="32"/>
          <w:u w:val="none" w:color="000000"/>
        </w:rPr>
        <w:t xml:space="preserve">in programma musiche di Honegger, Mozart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sz w:val="32"/>
          <w:szCs w:val="32"/>
          <w:u w:val="none" w:color="000000"/>
        </w:rPr>
      </w:pPr>
      <w:r>
        <w:rPr>
          <w:rFonts w:ascii="Times New Roman" w:hAnsi="Times New Roman"/>
          <w:sz w:val="32"/>
          <w:szCs w:val="32"/>
          <w:u w:val="none" w:color="000000"/>
        </w:rPr>
        <w:t xml:space="preserve">e i </w:t>
      </w:r>
      <w:r>
        <w:rPr>
          <w:rFonts w:ascii="Times New Roman" w:hAnsi="Times New Roman"/>
          <w:i/>
          <w:iCs/>
          <w:sz w:val="32"/>
          <w:szCs w:val="32"/>
          <w:u w:val="none" w:color="000000"/>
        </w:rPr>
        <w:t>Tres Tangos</w:t>
      </w:r>
      <w:r>
        <w:rPr>
          <w:rFonts w:ascii="Times New Roman" w:hAnsi="Times New Roman"/>
          <w:sz w:val="32"/>
          <w:szCs w:val="32"/>
          <w:u w:val="none" w:color="000000"/>
        </w:rPr>
        <w:t xml:space="preserve"> di Piazzolla </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sz w:val="32"/>
          <w:szCs w:val="32"/>
          <w:u w:val="none" w:color="000000"/>
        </w:rPr>
      </w:pPr>
      <w:r>
        <w:rPr>
          <w:rFonts w:ascii="Times New Roman" w:hAnsi="Times New Roman"/>
          <w:sz w:val="32"/>
          <w:szCs w:val="32"/>
          <w:u w:val="none" w:color="000000"/>
        </w:rPr>
        <w:t xml:space="preserve">con </w:t>
      </w:r>
      <w:r>
        <w:rPr>
          <w:rFonts w:ascii="Times New Roman" w:hAnsi="Times New Roman"/>
          <w:sz w:val="32"/>
          <w:szCs w:val="32"/>
          <w:u w:val="none" w:color="000000"/>
        </w:rPr>
        <w:t>la fisarmonica</w:t>
      </w:r>
      <w:r>
        <w:rPr>
          <w:rFonts w:ascii="Times New Roman" w:hAnsi="Times New Roman"/>
          <w:sz w:val="32"/>
          <w:szCs w:val="32"/>
          <w:u w:val="none" w:color="000000"/>
        </w:rPr>
        <w:t xml:space="preserve"> di </w:t>
      </w:r>
      <w:r>
        <w:rPr>
          <w:rFonts w:ascii="Times New Roman" w:hAnsi="Times New Roman"/>
          <w:sz w:val="32"/>
          <w:szCs w:val="32"/>
          <w:u w:val="none" w:color="000000"/>
        </w:rPr>
        <w:t>Pietro Roffi</w:t>
      </w:r>
    </w:p>
    <w:p>
      <w:pPr>
        <w:pStyle w:val="Didefault"/>
        <w:tabs>
          <w:tab w:val="left" w:pos="708" w:leader="none"/>
          <w:tab w:val="left" w:pos="1416" w:leader="none"/>
          <w:tab w:val="left" w:pos="2124" w:leader="none"/>
          <w:tab w:val="left" w:pos="2832" w:leader="none"/>
          <w:tab w:val="left" w:pos="3540" w:leader="none"/>
          <w:tab w:val="left" w:pos="4248" w:leader="none"/>
          <w:tab w:val="left" w:pos="4956" w:leader="none"/>
          <w:tab w:val="left" w:pos="5664" w:leader="none"/>
          <w:tab w:val="left" w:pos="6372" w:leader="none"/>
          <w:tab w:val="left" w:pos="7080" w:leader="none"/>
          <w:tab w:val="left" w:pos="7788" w:leader="none"/>
          <w:tab w:val="left" w:pos="8496" w:leader="none"/>
          <w:tab w:val="left" w:pos="9204" w:leader="none"/>
        </w:tabs>
        <w:spacing w:lineRule="auto" w:line="240" w:before="0" w:after="0"/>
        <w:jc w:val="center"/>
        <w:rPr>
          <w:rFonts w:ascii="Times New Roman" w:hAnsi="Times New Roman" w:eastAsia="Times New Roman" w:cs="Times New Roman"/>
          <w:sz w:val="28"/>
          <w:szCs w:val="28"/>
          <w:u w:val="none" w:color="000000"/>
        </w:rPr>
      </w:pPr>
      <w:r>
        <w:rPr>
          <w:rFonts w:eastAsia="Times New Roman" w:cs="Times New Roman" w:ascii="Times New Roman" w:hAnsi="Times New Roman"/>
          <w:sz w:val="28"/>
          <w:szCs w:val="28"/>
          <w:u w:val="none" w:color="000000"/>
        </w:rPr>
      </w:r>
    </w:p>
    <w:p>
      <w:pPr>
        <w:pStyle w:val="NormalWeb"/>
        <w:shd w:val="clear" w:color="auto" w:fill="FFFFFF" w:themeFill="background1"/>
        <w:spacing w:beforeAutospacing="0" w:before="0" w:afterAutospacing="0" w:after="0"/>
        <w:jc w:val="both"/>
        <w:rPr>
          <w:b/>
          <w:bCs/>
        </w:rPr>
      </w:pPr>
      <w:r>
        <w:rPr>
          <w:b/>
          <w:bCs/>
        </w:rPr>
        <w:t xml:space="preserve">Corrado Rovaris </w:t>
      </w:r>
      <w:r>
        <w:rPr/>
        <w:t xml:space="preserve">sarà il protagonista del prossimo appuntamento della Stagione Sinfonica 2025-2026 della Fondazione Teatro La Fenice, in programma al </w:t>
      </w:r>
      <w:r>
        <w:rPr>
          <w:b/>
          <w:bCs/>
        </w:rPr>
        <w:t xml:space="preserve">Teatro Malibran venerdì 19 giugno 2026 ore 20.00 </w:t>
      </w:r>
      <w:r>
        <w:rPr/>
        <w:t xml:space="preserve">(turno S) e </w:t>
      </w:r>
      <w:r>
        <w:rPr>
          <w:b/>
          <w:bCs/>
        </w:rPr>
        <w:t xml:space="preserve">domenica 21 giugno 2026 ore 17.00 </w:t>
      </w:r>
      <w:r>
        <w:rPr/>
        <w:t xml:space="preserve">(turno U). Il maestro italiano, giunto alla sua ventesima stagione come direttore musicale dell’Opera Philadelphia, guiderà l’Orchestra del Teatro La Fenice in un programma affascinante che affiancherà alla Sinfonia n. 38 in re maggiore </w:t>
      </w:r>
      <w:r>
        <w:rPr>
          <w:smallCaps/>
        </w:rPr>
        <w:t>kv</w:t>
      </w:r>
      <w:r>
        <w:rPr/>
        <w:t xml:space="preserve"> 504 </w:t>
      </w:r>
      <w:r>
        <w:rPr>
          <w:i/>
          <w:iCs/>
        </w:rPr>
        <w:t>Praga</w:t>
      </w:r>
      <w:r>
        <w:rPr/>
        <w:t xml:space="preserve"> di Mozart la </w:t>
      </w:r>
      <w:r>
        <w:rPr>
          <w:i/>
          <w:iCs/>
        </w:rPr>
        <w:t>Pastorale d’Été</w:t>
      </w:r>
      <w:r>
        <w:rPr/>
        <w:t xml:space="preserve"> di Arthur Honegger e i </w:t>
      </w:r>
      <w:r>
        <w:rPr>
          <w:i/>
          <w:iCs/>
        </w:rPr>
        <w:t>Tres Tangos</w:t>
      </w:r>
      <w:r>
        <w:rPr/>
        <w:t xml:space="preserve"> di Astor Piazzolla, con </w:t>
      </w:r>
      <w:r>
        <w:rPr>
          <w:b/>
          <w:bCs/>
        </w:rPr>
        <w:t>Pietro Roffi</w:t>
      </w:r>
      <w:r>
        <w:rPr>
          <w:b/>
          <w:bCs/>
        </w:rPr>
        <w:t xml:space="preserve"> </w:t>
      </w:r>
      <w:r>
        <w:rPr>
          <w:b w:val="false"/>
          <w:bCs w:val="false"/>
        </w:rPr>
        <w:t>solista alla fisarmonica</w:t>
      </w:r>
      <w:r>
        <w:rPr/>
        <w:t>.</w:t>
      </w:r>
    </w:p>
    <w:p>
      <w:pPr>
        <w:pStyle w:val="NormalWeb"/>
        <w:shd w:val="clear" w:color="auto" w:fill="FFFFFF" w:themeFill="background1"/>
        <w:spacing w:beforeAutospacing="0" w:before="0" w:afterAutospacing="0" w:after="0"/>
        <w:jc w:val="both"/>
        <w:rPr/>
      </w:pPr>
      <w:r>
        <w:rPr/>
        <w:tab/>
        <w:t xml:space="preserve">Tra i primi del ‘Gruppo dei Sei’ a imporsi all’attenzione internazionale per il coraggio delle scelte e la messa in pratica dei ‘principi’ rivoluzionari e destabilizzanti dei Six, Arthur Honegger (1892-1955) riuscì a esprimere il suo stile del tutto peculiare pur rimanendo legato alla tradizione tedesca (in parte assorbita con i primi studi a Zurigo) e alla capitale lezione contrappuntistica di Bach. Nel suo breve poema sinfonico </w:t>
      </w:r>
      <w:r>
        <w:rPr>
          <w:i/>
          <w:iCs/>
        </w:rPr>
        <w:t xml:space="preserve">Pastorale </w:t>
      </w:r>
      <w:r>
        <w:rPr/>
        <w:t xml:space="preserve">d’Été, Honegger racchiuse il caratteristico neoclassicismo di Les Six, individualizzato dalla scrittura chiara e dal ricorso alle forme strumentali della tradizione classico-romantica. Ma in questa partitura confluirono anche quasi tutte le migliori espressioni d’autore: nitore, eleganza, raffinatezza d’orchestrazione e sicurezza pragmatica nello sfruttare la duttilità della forma. La </w:t>
      </w:r>
      <w:r>
        <w:rPr>
          <w:i/>
          <w:iCs/>
        </w:rPr>
        <w:t>Pastorale d’Été</w:t>
      </w:r>
      <w:r>
        <w:rPr/>
        <w:t xml:space="preserve"> fu scritta nel 1920, a seguito di un soggiorno estivo nelle Alpi bernesi; mentre la prima esecuzione avvenne nella primavera successiva, alla Salle Gaveau di Parigi, il 17 febbraio 1921.</w:t>
      </w:r>
    </w:p>
    <w:p>
      <w:pPr>
        <w:pStyle w:val="NormalWeb"/>
        <w:shd w:val="clear" w:color="auto" w:fill="FFFFFF" w:themeFill="background1"/>
        <w:spacing w:beforeAutospacing="0" w:before="0" w:afterAutospacing="0" w:after="0"/>
        <w:ind w:firstLine="708"/>
        <w:jc w:val="both"/>
        <w:rPr/>
      </w:pPr>
      <w:r>
        <w:rPr/>
        <w:t xml:space="preserve">Il bandoneón segnò il destino di Astor Piazzolla (1921-1992). Non fu subito amore. Iniziò a studiarlo a New York dove la famiglia risiedeva dal 1925, con Andrés D’Aquila, ma fu il pianista Béla Wilda che lo accompagnò nella rivelazione musicale decisiva: Johann Sebastian Bach. Poi i modelli si moltiplicano: la voce di Carlos Gardel, il lavoro con Albert Ginastera. Appassionato di Stravinskij e Bartók, di Copland e Gershwin, approfondì lo studio del pianoforte e della direzione con Hermann Scherchen. E nel 1954 è a Parigi da Nadia Boulanger. Una formazione ‘classica’ non trascurabile, insomma. Poi gli bastarono pochi mesi in Europa: in sale da concerto e locali popolari, in studi di registrazione e </w:t>
      </w:r>
      <w:r>
        <w:rPr>
          <w:i/>
          <w:iCs/>
        </w:rPr>
        <w:t>performance</w:t>
      </w:r>
      <w:r>
        <w:rPr/>
        <w:t xml:space="preserve"> improvvisate, il </w:t>
      </w:r>
      <w:r>
        <w:rPr>
          <w:i/>
          <w:iCs/>
        </w:rPr>
        <w:t>nuevo tango</w:t>
      </w:r>
      <w:r>
        <w:rPr/>
        <w:t xml:space="preserve"> piazzolliano divenne un linguaggio musicale riconosciuto dovunque. Imprendibile e imprevedibile divenne tutt’uno con la sua ipnotica presenza da solista, soprattutto negli ultimi anni. Senza intralciare una rinnovata creatività autoriale che agli inizi degli anni Ottanta portò anche alla scrittura di due partiture sinfonico-bandoneistiche: due veri e propri concerti per la piccola tastiera a mantice e orchestra. Il </w:t>
      </w:r>
      <w:r>
        <w:rPr>
          <w:i/>
          <w:iCs/>
        </w:rPr>
        <w:t>Concierto Aconcagua</w:t>
      </w:r>
      <w:r>
        <w:rPr/>
        <w:t xml:space="preserve"> del 1979 e i </w:t>
      </w:r>
      <w:r>
        <w:rPr>
          <w:i/>
          <w:iCs/>
        </w:rPr>
        <w:t>Tres Tangos</w:t>
      </w:r>
      <w:r>
        <w:rPr/>
        <w:t xml:space="preserve"> del 1982. L’intenzione di Piazzolla di questo secondo confronto con la forma del concerto (tre tempi, con la consueta disposizione di movimento veloce-lento-veloce) è dichiarata dal titolo e ribadita dai titoli dei tempi. </w:t>
      </w:r>
    </w:p>
    <w:p>
      <w:pPr>
        <w:pStyle w:val="NormalWeb"/>
        <w:shd w:val="clear" w:color="auto" w:fill="FFFFFF" w:themeFill="background1"/>
        <w:spacing w:beforeAutospacing="0" w:before="0" w:afterAutospacing="0" w:after="0"/>
        <w:ind w:firstLine="708"/>
        <w:jc w:val="both"/>
        <w:rPr/>
      </w:pPr>
      <w:r>
        <w:rPr/>
        <w:t xml:space="preserve">La Sinfonia n. 38 in re maggiore </w:t>
      </w:r>
      <w:r>
        <w:rPr>
          <w:smallCaps/>
        </w:rPr>
        <w:t>kv</w:t>
      </w:r>
      <w:r>
        <w:rPr/>
        <w:t xml:space="preserve"> 504, denominata </w:t>
      </w:r>
      <w:r>
        <w:rPr>
          <w:i/>
          <w:iCs/>
        </w:rPr>
        <w:t>Praga</w:t>
      </w:r>
      <w:r>
        <w:rPr/>
        <w:t xml:space="preserve">, fu composta da Wolfgang Amadeus Mozart (1742-1791) dopo oltre tre anni di disimpegno nell’ambito sinfonico e d’altro canto di approfondimento strumentale, riversato quello nella prodigiosa creatività dedicata alla musica da camera e al concerto pianistico. Pur nascendo nell’ambito di questo triennio di ‘vacanza’, la nuova partitura può essere considerata un anello di congiunzione tra la Sinfonia </w:t>
      </w:r>
      <w:r>
        <w:rPr>
          <w:smallCaps/>
        </w:rPr>
        <w:t>kv</w:t>
      </w:r>
      <w:r>
        <w:rPr/>
        <w:t xml:space="preserve"> 425 </w:t>
      </w:r>
      <w:r>
        <w:rPr>
          <w:i/>
          <w:iCs/>
        </w:rPr>
        <w:t>Linz</w:t>
      </w:r>
      <w:r>
        <w:rPr/>
        <w:t xml:space="preserve"> e gli ultimi lavori orchestrali. In questo lavoro, composto a Vienna nel dicembre del 1786 su richiesta dell’«orchestra e di un gruppo di grandi intenditori e appassionati di musica» – così la descrisse il padre Leopold il 12 gennaio successivo – il linguaggio si fa intenso e drammatico. E la complessità del pensiero musicale, che profetizza per molti aspetti il sinfonismo beethoveniano, non verrà uguagliata nemmeno nell’ultima solenne Sinfonia </w:t>
      </w:r>
      <w:r>
        <w:rPr>
          <w:i/>
          <w:iCs/>
        </w:rPr>
        <w:t>Jupiter</w:t>
      </w:r>
      <w:r>
        <w:rPr/>
        <w:t xml:space="preserve">. </w:t>
      </w:r>
    </w:p>
    <w:p>
      <w:pPr>
        <w:pStyle w:val="NormalWeb"/>
        <w:shd w:val="clear" w:color="auto" w:fill="FFFFFF" w:themeFill="background1"/>
        <w:spacing w:beforeAutospacing="0" w:before="0" w:afterAutospacing="0" w:after="0"/>
        <w:ind w:firstLine="708"/>
        <w:jc w:val="both"/>
        <w:rPr/>
      </w:pPr>
      <w:r>
        <w:rPr/>
        <w:t>In occasione dell’evento diretto da Corrado Rovaris, si rinnoverà il consueto appuntamento con le conferenze di approfondimento della Stagione Sinfonica: il concerto di venerdì 19 giugno 2026 sarà infatti preceduto da un incontro a ingresso libero con il musicologo Roberto Mori, che dalle 19.20 alle ore 19.40 illustrerà il programma musicale della serata.</w:t>
      </w:r>
    </w:p>
    <w:p>
      <w:pPr>
        <w:pStyle w:val="NormalWeb"/>
        <w:shd w:val="clear" w:color="auto" w:fill="FFFFFF" w:themeFill="background1"/>
        <w:spacing w:beforeAutospacing="0" w:before="0" w:afterAutospacing="0" w:after="0"/>
        <w:ind w:firstLine="708"/>
        <w:jc w:val="both"/>
        <w:rPr/>
      </w:pPr>
      <w:r>
        <w:rPr/>
        <w:t xml:space="preserve">I biglietti per il concerto (da € 10,00 a € 60,00) sono acquistabili nella biglietteria del Teatro La Fenice e nei punti vendita Eventi Venezia Unica, tramite biglietteria telefonica (+39 041 2722699) e biglietteria </w:t>
      </w:r>
      <w:r>
        <w:rPr>
          <w:i/>
          <w:iCs/>
        </w:rPr>
        <w:t>online</w:t>
      </w:r>
      <w:r>
        <w:rPr/>
        <w:t xml:space="preserve"> su www.teatrolafenice.it. </w:t>
      </w:r>
    </w:p>
    <w:p>
      <w:pPr>
        <w:pStyle w:val="NormalWeb"/>
        <w:shd w:val="clear" w:color="auto" w:fill="FFFFFF" w:themeFill="background1"/>
        <w:spacing w:beforeAutospacing="0" w:before="0" w:afterAutospacing="0" w:after="0"/>
        <w:jc w:val="both"/>
        <w:rPr/>
      </w:pPr>
      <w:r>
        <w:rPr/>
      </w:r>
    </w:p>
    <w:p>
      <w:pPr>
        <w:pStyle w:val="Normal"/>
        <w:jc w:val="both"/>
        <w:rPr>
          <w:smallCaps/>
          <w:color w:val="222222"/>
          <w:sz w:val="22"/>
          <w:szCs w:val="22"/>
        </w:rPr>
      </w:pPr>
      <w:r>
        <w:rPr>
          <w:smallCaps/>
          <w:color w:val="222222"/>
          <w:sz w:val="22"/>
          <w:szCs w:val="22"/>
        </w:rPr>
        <w:t>Corrado Rovaris</w:t>
      </w:r>
    </w:p>
    <w:p>
      <w:pPr>
        <w:pStyle w:val="Normal"/>
        <w:jc w:val="both"/>
        <w:rPr>
          <w:sz w:val="22"/>
          <w:szCs w:val="22"/>
        </w:rPr>
      </w:pPr>
      <w:r>
        <w:rPr>
          <w:sz w:val="22"/>
          <w:szCs w:val="22"/>
        </w:rPr>
        <w:t xml:space="preserve">Giunto alla sua ventesima stagione come direttore musicale dell’Opera Philadelphia, è celebre per il suo stile vivace, in particolare nel repertorio belcantistico. Nominato nel 2005 primo direttore musicale dell’Opera Philadelphia, inaugura la stagione 2025-2026 dirigendo il gala per l’anniversario, seguito dalla prima rappresentazione del </w:t>
      </w:r>
      <w:r>
        <w:rPr>
          <w:i/>
          <w:iCs/>
          <w:sz w:val="22"/>
          <w:szCs w:val="22"/>
        </w:rPr>
        <w:t>Viaggio a Reims</w:t>
      </w:r>
      <w:r>
        <w:rPr>
          <w:sz w:val="22"/>
          <w:szCs w:val="22"/>
        </w:rPr>
        <w:t xml:space="preserve">. Dirige anche la prima mondiale di </w:t>
      </w:r>
      <w:r>
        <w:rPr>
          <w:i/>
          <w:iCs/>
          <w:sz w:val="22"/>
          <w:szCs w:val="22"/>
        </w:rPr>
        <w:t>Sleepers Awake</w:t>
      </w:r>
      <w:r>
        <w:rPr>
          <w:sz w:val="22"/>
          <w:szCs w:val="22"/>
        </w:rPr>
        <w:t xml:space="preserve"> di Gregory Spears, nonché </w:t>
      </w:r>
      <w:r>
        <w:rPr>
          <w:i/>
          <w:iCs/>
          <w:sz w:val="22"/>
          <w:szCs w:val="22"/>
        </w:rPr>
        <w:t>The Seasons</w:t>
      </w:r>
      <w:r>
        <w:rPr>
          <w:sz w:val="22"/>
          <w:szCs w:val="22"/>
        </w:rPr>
        <w:t xml:space="preserve">, una rivisitazione delle </w:t>
      </w:r>
      <w:r>
        <w:rPr>
          <w:i/>
          <w:iCs/>
          <w:sz w:val="22"/>
          <w:szCs w:val="22"/>
        </w:rPr>
        <w:t>Quattro stagioni</w:t>
      </w:r>
      <w:r>
        <w:rPr>
          <w:sz w:val="22"/>
          <w:szCs w:val="22"/>
        </w:rPr>
        <w:t xml:space="preserve"> di Vivaldi ideata da Anthony Roth Costanzo, acclamato controtenore e nuovo direttore generale della compagnia. Inoltre, dirige </w:t>
      </w:r>
      <w:r>
        <w:rPr>
          <w:i/>
          <w:iCs/>
          <w:sz w:val="22"/>
          <w:szCs w:val="22"/>
        </w:rPr>
        <w:t xml:space="preserve">A Midsummer Night’s Dream </w:t>
      </w:r>
      <w:r>
        <w:rPr>
          <w:sz w:val="22"/>
          <w:szCs w:val="22"/>
        </w:rPr>
        <w:t xml:space="preserve">di Britten al Teatro de la Maestranza di Siviglia. Da sempre grande sostenitore delle nuove opere, ha svolto un ruolo fondamentale nel lancio dell’annuale Festival O dell’Opera Philadelphia, due settimane di immersione totale con prime mondiali e altri eventi operistici, nonché dell’Aurora Series for Chamber Opera. Tra le prime recenti figurano </w:t>
      </w:r>
      <w:r>
        <w:rPr>
          <w:i/>
          <w:iCs/>
          <w:sz w:val="22"/>
          <w:szCs w:val="22"/>
        </w:rPr>
        <w:t>The Listeners</w:t>
      </w:r>
      <w:r>
        <w:rPr>
          <w:sz w:val="22"/>
          <w:szCs w:val="22"/>
        </w:rPr>
        <w:t xml:space="preserve"> di Missy Mazzoli, </w:t>
      </w:r>
      <w:r>
        <w:rPr>
          <w:i/>
          <w:iCs/>
          <w:sz w:val="22"/>
          <w:szCs w:val="22"/>
        </w:rPr>
        <w:t>Glass Händel</w:t>
      </w:r>
      <w:r>
        <w:rPr>
          <w:sz w:val="22"/>
          <w:szCs w:val="22"/>
        </w:rPr>
        <w:t xml:space="preserve">, un’installazione artistica operistica con musiche di George Frideric Händel e Philip Glass, Elizabeth Cree, un’opera da camera del compositore vincitore del Premio Pulitzer Kevin Puts, e </w:t>
      </w:r>
      <w:r>
        <w:rPr>
          <w:i/>
          <w:iCs/>
          <w:sz w:val="22"/>
          <w:szCs w:val="22"/>
        </w:rPr>
        <w:t>Written on Skin</w:t>
      </w:r>
      <w:r>
        <w:rPr>
          <w:sz w:val="22"/>
          <w:szCs w:val="22"/>
        </w:rPr>
        <w:t xml:space="preserve"> di George Benjamin. Ha instaurato uno stretto legame con il Curtis Institute of Music e dal 2009 ha diretto diverse produzioni congiunte Curtis-Opera Philadelphia, tra cui nel 2018 </w:t>
      </w:r>
      <w:r>
        <w:rPr>
          <w:i/>
          <w:iCs/>
          <w:sz w:val="22"/>
          <w:szCs w:val="22"/>
        </w:rPr>
        <w:t>A Quiet Place</w:t>
      </w:r>
      <w:r>
        <w:rPr>
          <w:sz w:val="22"/>
          <w:szCs w:val="22"/>
        </w:rPr>
        <w:t xml:space="preserve"> di Bernstein. Dal 2012 al 2024, è stato direttore musicale dell’Artosphere Festival Orchestra, fondata nel 2011 dal Walton Arts Center. Nel 2024-2025 ha diretto la Tokyo Philharmonic Orchestra con l’acclamato soprano Lisette Oroposa alla Suntory Hall. Si è esibito nei teatri d’opera più prestigiosi del mondo, tra cui, più recentemente, all’Opéra National de Paris nei Puritani di Bellini. È stato tre volte al New National Theatre di Tokyo, dirigendo </w:t>
      </w:r>
      <w:r>
        <w:rPr>
          <w:i/>
          <w:iCs/>
          <w:sz w:val="22"/>
          <w:szCs w:val="22"/>
        </w:rPr>
        <w:t>Il barbiere di Siviglia</w:t>
      </w:r>
      <w:r>
        <w:rPr>
          <w:sz w:val="22"/>
          <w:szCs w:val="22"/>
        </w:rPr>
        <w:t xml:space="preserve"> (2024-2025), </w:t>
      </w:r>
      <w:r>
        <w:rPr>
          <w:i/>
          <w:iCs/>
          <w:sz w:val="22"/>
          <w:szCs w:val="22"/>
        </w:rPr>
        <w:t>Falstaff</w:t>
      </w:r>
      <w:r>
        <w:rPr>
          <w:sz w:val="22"/>
          <w:szCs w:val="22"/>
        </w:rPr>
        <w:t xml:space="preserve"> (2022-2023) e </w:t>
      </w:r>
      <w:r>
        <w:rPr>
          <w:i/>
          <w:iCs/>
          <w:sz w:val="22"/>
          <w:szCs w:val="22"/>
        </w:rPr>
        <w:t>Don Pasquale</w:t>
      </w:r>
      <w:r>
        <w:rPr>
          <w:sz w:val="22"/>
          <w:szCs w:val="22"/>
        </w:rPr>
        <w:t xml:space="preserve"> (2019-2020). Nato a Bergamo, si è laureato al Conservatorio di Milano in composizione, organo e clavicembalo. Dal 1992 al 1996 è stato assistente maestro del coro del Teatro alla Scala. Poco dopo, ha iniziato ad apparire regolarmente come ospite in molti dei principali teatri lirici italiani, come Scala, Maggio Musicale Fiorentino, Fenice, Opera di Roma e Comunale di Bologna. Ha diretto produzioni per l’Opéra de Lyon, l’Opéra Monte Carlo, il Théâtre Municipal de Lausanne, la Deutsche Opera Berlin, l’Oper Köln, l’Oper Frankfurt, il Teatro Regio di Parma, l’Opera di Oviedo e il Garsington Opera Festival, tra gli altri. In Nord America, ha diretto numerose volte alla Canadian Opera Company e alla Santa Fe Opera, nonché alla St. Louis Opera e al Glimmerglass Festival. È stato insignito del titolo di Cavaliere dell’Ordine al Merito della Repubblica Italiana nel 2015 e nel 2016 del Premio Abbiati.</w:t>
      </w:r>
    </w:p>
    <w:p>
      <w:pPr>
        <w:pStyle w:val="Normal"/>
        <w:jc w:val="both"/>
        <w:rPr>
          <w:sz w:val="22"/>
          <w:szCs w:val="22"/>
        </w:rPr>
      </w:pPr>
      <w:r>
        <w:rPr>
          <w:sz w:val="22"/>
          <w:szCs w:val="22"/>
        </w:rPr>
      </w:r>
    </w:p>
    <w:p>
      <w:pPr>
        <w:pStyle w:val="Normal"/>
        <w:jc w:val="both"/>
        <w:rPr>
          <w:smallCaps/>
          <w:color w:val="222222"/>
          <w:sz w:val="22"/>
          <w:szCs w:val="22"/>
        </w:rPr>
      </w:pPr>
      <w:r>
        <w:rPr>
          <w:smallCaps/>
          <w:color w:val="222222"/>
          <w:sz w:val="22"/>
          <w:szCs w:val="22"/>
        </w:rPr>
        <w:t>Pietro Roffi</w:t>
      </w:r>
    </w:p>
    <w:p>
      <w:pPr>
        <w:pStyle w:val="Normal"/>
        <w:jc w:val="both"/>
        <w:rPr>
          <w:sz w:val="22"/>
          <w:szCs w:val="22"/>
        </w:rPr>
      </w:pPr>
      <w:r>
        <w:rPr>
          <w:sz w:val="22"/>
          <w:szCs w:val="22"/>
        </w:rPr>
        <w:t>L'intensa attività concertistica lo ha portato a esibirsi come solista, con formazioni da camera e orchestre sinfoniche, in centinaia di concerti in cinque continenti. Il suo repertorio spazia dalla musica classica al tango, dalle sue composizioni originali alle colonne sonore. In occasione del novantesimo compleanno di Ennio Morricone ha debuttato come solista con l'Orchestra di Santa Cecilia eseguendo una composizione del premio Oscar Dario Marianelli. Tra gli impegni delle stagioni recenti si annoverano i debutti con l'Orquestra Sinfônica Brasileira di Rio de Janeiro, l'Orchestra Filarmonica Bohuslav Martinu di Zlín (Repubblica Ceca), l'Orchestra Sinfonica AASSM di Smirne, la CRR Youth String Chamber Orchestra di Istanbul e l'Orchestra Sinfonica Statale del Distretto di Bursa (Turchia). Si è esibito in prestigiosi teatri in Europa e nel mondo, in particolare in Germania, Romania, Lituania, Inghilterra, Argentina, Malta, Cina, Australia, Brasile, Ungheria, Francia, Spagna, Croazia, Svizzera e Norvegia. Nel 2021 ha presentato la sua composizione Goldberg Rework in duetto con la fisarmonicista lettone Ksenija Sidorova. Nel 2022 ha debuttato con l'Odeion String Quartet in Sudafrica.</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134" w:right="1134" w:gutter="0" w:header="680" w:top="737" w:footer="414"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Bodoni">
    <w:charset w:val="00"/>
    <w:family w:val="roman"/>
    <w:pitch w:val="variable"/>
  </w:font>
  <w:font w:name="Palatino">
    <w:charset w:val="00"/>
    <w:family w:val="roman"/>
    <w:pitch w:val="variable"/>
  </w:font>
  <w:font w:name="Liberation Sans">
    <w:altName w:val="Arial"/>
    <w:charset w:val="00"/>
    <w:family w:val="roman"/>
    <w:pitch w:val="variable"/>
  </w:font>
  <w:font w:name="Tahoma">
    <w:charset w:val="00"/>
    <w:family w:val="roman"/>
    <w:pitch w:val="variable"/>
  </w:font>
  <w:font w:name="The Sans Bold">
    <w:charset w:val="00"/>
    <w:family w:val="roman"/>
    <w:pitch w:val="variable"/>
  </w:font>
  <w:font w:name="Sabon">
    <w:charset w:val="00"/>
    <w:family w:val="roman"/>
    <w:pitch w:val="variable"/>
  </w:font>
  <w:font w:name="Lucida Grande">
    <w:charset w:val="00"/>
    <w:family w:val="roman"/>
    <w:pitch w:val="variable"/>
  </w:font>
  <w:font w:name="Helvetica Neue">
    <w:charset w:val="00"/>
    <w:family w:val="roman"/>
    <w:pitch w:val="variable"/>
  </w:font>
  <w:font w:name="Helvetic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firstLine="360" w:right="360"/>
      <w:rPr>
        <w:rStyle w:val="Pagenumber"/>
      </w:rPr>
    </w:pPr>
    <w:r>
      <w:rPr/>
    </w:r>
  </w:p>
  <w:p>
    <w:pPr>
      <w:pStyle w:val="Footer"/>
      <w:ind w:firstLine="360" w:right="360"/>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ind w:firstLine="360" w:right="360"/>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szCs w:val="24"/>
        <w14:props3d w14:extrusionH="0" w14:contourW="0" w14:prstMaterial="matte"/>
      </w:rPr>
    </w:pPr>
    <w:r>
      <w:rPr>
        <w:szCs w:val="24"/>
        <w14:props3d w14:extrusionH="0" w14:contourW="0" w14:prstMaterial="matte"/>
      </w:rPr>
    </w:r>
  </w:p>
  <w:p>
    <w:pPr>
      <w:pStyle w:val="Footer"/>
      <w:rPr>
        <w:szCs w:val="24"/>
        <w14:props3d w14:extrusionH="0" w14:contourW="0" w14:prstMaterial="matte"/>
      </w:rPr>
    </w:pPr>
    <w:r>
      <w:rPr/>
      <w:drawing>
        <wp:inline distT="0" distB="0" distL="0" distR="0">
          <wp:extent cx="6299200" cy="355600"/>
          <wp:effectExtent l="0" t="0" r="0" b="0"/>
          <wp:docPr id="3" name="Immagine 3" descr="prov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prova 4"/>
                  <pic:cNvPicPr>
                    <a:picLocks noChangeAspect="1" noChangeArrowheads="1"/>
                  </pic:cNvPicPr>
                </pic:nvPicPr>
                <pic:blipFill>
                  <a:blip r:embed="rId1"/>
                  <a:stretch>
                    <a:fillRect/>
                  </a:stretch>
                </pic:blipFill>
                <pic:spPr bwMode="auto">
                  <a:xfrm>
                    <a:off x="0" y="0"/>
                    <a:ext cx="6299200" cy="355600"/>
                  </a:xfrm>
                  <a:prstGeom prst="rect">
                    <a:avLst/>
                  </a:prstGeom>
                </pic:spPr>
              </pic:pic>
            </a:graphicData>
          </a:graphic>
        </wp:inline>
      </w:drawing>
    </w:r>
  </w:p>
  <w:p>
    <w:pPr>
      <w:pStyle w:val="Footer"/>
      <w:rPr>
        <w:szCs w:val="24"/>
        <w14:props3d w14:extrusionH="0" w14:contourW="0" w14:prstMaterial="matte"/>
      </w:rPr>
    </w:pPr>
    <w:r>
      <w:rPr>
        <w:szCs w:val="24"/>
        <w14:props3d w14:extrusionH="0" w14:contourW="0" w14:prstMaterial="matte"/>
      </w:rPr>
      <w:drawing>
        <wp:anchor behindDoc="1" distT="0" distB="0" distL="0" distR="0" simplePos="0" locked="0" layoutInCell="0" allowOverlap="1" relativeHeight="5">
          <wp:simplePos x="0" y="0"/>
          <wp:positionH relativeFrom="page">
            <wp:posOffset>2449195</wp:posOffset>
          </wp:positionH>
          <wp:positionV relativeFrom="paragraph">
            <wp:posOffset>136525</wp:posOffset>
          </wp:positionV>
          <wp:extent cx="200025" cy="200025"/>
          <wp:effectExtent l="0" t="0" r="0" b="0"/>
          <wp:wrapNone/>
          <wp:docPr id="4" name="Immagin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3" descr=""/>
                  <pic:cNvPicPr>
                    <a:picLocks noChangeAspect="1" noChangeArrowheads="1"/>
                  </pic:cNvPicPr>
                </pic:nvPicPr>
                <pic:blipFill>
                  <a:blip r:embed="rId2"/>
                  <a:stretch>
                    <a:fillRect/>
                  </a:stretch>
                </pic:blipFill>
                <pic:spPr bwMode="auto">
                  <a:xfrm>
                    <a:off x="0" y="0"/>
                    <a:ext cx="200025" cy="200025"/>
                  </a:xfrm>
                  <a:prstGeom prst="rect">
                    <a:avLst/>
                  </a:prstGeom>
                </pic:spPr>
              </pic:pic>
            </a:graphicData>
          </a:graphic>
        </wp:anchor>
      </w:drawing>
      <w:drawing>
        <wp:anchor behindDoc="1" distT="0" distB="0" distL="0" distR="0" simplePos="0" locked="0" layoutInCell="0" allowOverlap="1" relativeHeight="6">
          <wp:simplePos x="0" y="0"/>
          <wp:positionH relativeFrom="page">
            <wp:posOffset>4625975</wp:posOffset>
          </wp:positionH>
          <wp:positionV relativeFrom="page">
            <wp:posOffset>10233025</wp:posOffset>
          </wp:positionV>
          <wp:extent cx="341630" cy="340360"/>
          <wp:effectExtent l="0" t="0" r="0" b="0"/>
          <wp:wrapNone/>
          <wp:docPr id="5"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4" descr=""/>
                  <pic:cNvPicPr>
                    <a:picLocks noChangeAspect="1" noChangeArrowheads="1"/>
                  </pic:cNvPicPr>
                </pic:nvPicPr>
                <pic:blipFill>
                  <a:blip r:embed="rId3"/>
                  <a:stretch>
                    <a:fillRect/>
                  </a:stretch>
                </pic:blipFill>
                <pic:spPr bwMode="auto">
                  <a:xfrm>
                    <a:off x="0" y="0"/>
                    <a:ext cx="341630" cy="340360"/>
                  </a:xfrm>
                  <a:prstGeom prst="rect">
                    <a:avLst/>
                  </a:prstGeom>
                </pic:spPr>
              </pic:pic>
            </a:graphicData>
          </a:graphic>
        </wp:anchor>
      </w:drawing>
    </w:r>
  </w:p>
  <w:p>
    <w:pPr>
      <w:pStyle w:val="Footer"/>
      <w:tabs>
        <w:tab w:val="center" w:pos="1560" w:leader="none"/>
        <w:tab w:val="center" w:pos="4678" w:leader="none"/>
        <w:tab w:val="left" w:pos="6300" w:leader="none"/>
        <w:tab w:val="left" w:pos="6500" w:leader="none"/>
        <w:tab w:val="center" w:pos="7938" w:leader="none"/>
        <w:tab w:val="right" w:pos="9638" w:leader="none"/>
      </w:tabs>
      <w:jc w:val="left"/>
      <w:rPr>
        <w:rFonts w:ascii="Helvetica" w:hAnsi="Helvetica"/>
        <w:color w:val="003399"/>
        <w:sz w:val="14"/>
        <w14:props3d w14:extrusionH="0" w14:contourW="0" w14:prstMaterial="matte"/>
      </w:rPr>
    </w:pP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http://www.teatrolafenice.it</w:t>
    </w:r>
    <w:r>
      <w:rPr>
        <w:rFonts w:ascii="Helvetica" w:hAnsi="Helvetica"/>
        <w:sz w:val="14"/>
        <w14:props3d w14:extrusionH="0" w14:contourW="0" w14:prstMaterial="matte"/>
      </w:rPr>
      <w:tab/>
    </w:r>
    <w:r>
      <w:rPr>
        <w:rFonts w:ascii="Helvetica" w:hAnsi="Helvetica"/>
        <w:color w:val="003399"/>
        <w:sz w:val="14"/>
        <w14:props3d w14:extrusionH="0" w14:contourW="0" w14:prstMaterial="matte"/>
      </w:rPr>
      <w:t>http://www.facebook.com/LaFeniceufficiale</w:t>
    </w:r>
    <w:r>
      <w:rPr>
        <w:rFonts w:ascii="Helvetica" w:hAnsi="Helvetica"/>
        <w:sz w:val="14"/>
        <w14:props3d w14:extrusionH="0" w14:contourW="0" w14:prstMaterial="matte"/>
      </w:rPr>
      <w:tab/>
      <w:tab/>
      <w:tab/>
    </w:r>
    <w:r>
      <w:rPr>
        <w:rFonts w:ascii="Helvetica" w:hAnsi="Helvetica"/>
        <w:color w:val="003399"/>
        <w:sz w:val="14"/>
        <w14:props3d w14:extrusionH="0" w14:contourW="0" w14:prstMaterial="matte"/>
      </w:rPr>
      <w:t>https://twitter.com/TeatroLaFenice</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drawing>
        <wp:inline distT="0" distB="0" distL="0" distR="0">
          <wp:extent cx="1803400" cy="279400"/>
          <wp:effectExtent l="0" t="0" r="0" b="0"/>
          <wp:docPr id="1" name="Immagine 1" descr="/Users/../../AppData/Local/Microsoft/Windows/Temporary Internet Files/OLK868D/H_Hermes 2:123_Phenix_2011:Xx_Comunicato Stampa:LaFenice_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Users/../../AppData/Local/Microsoft/Windows/Temporary Internet Files/OLK868D/H_Hermes 2:123_Phenix_2011:Xx_Comunicato Stampa:LaFenice_50.jpg"/>
                  <pic:cNvPicPr>
                    <a:picLocks noChangeAspect="1" noChangeArrowheads="1"/>
                  </pic:cNvPicPr>
                </pic:nvPicPr>
                <pic:blipFill>
                  <a:blip r:embed="rId1"/>
                  <a:stretch>
                    <a:fillRect/>
                  </a:stretch>
                </pic:blipFill>
                <pic:spPr bwMode="auto">
                  <a:xfrm>
                    <a:off x="0" y="0"/>
                    <a:ext cx="1803400" cy="279400"/>
                  </a:xfrm>
                  <a:prstGeom prst="rect">
                    <a:avLst/>
                  </a:prstGeom>
                </pic:spPr>
              </pic:pic>
            </a:graphicData>
          </a:graphic>
        </wp:inline>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drawing>
        <wp:inline distT="0" distB="0" distL="0" distR="0">
          <wp:extent cx="6184900" cy="1422400"/>
          <wp:effectExtent l="0" t="0" r="0" b="0"/>
          <wp:docPr id="2" name="Immagine 2" descr="/Users/../../AppData/Local/Microsoft/Windows/Temporary Internet Files/OLK868D/H_Hermes 2:123_Phenix_2011:Xx_Comunicato Stampa:Test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Users/../../AppData/Local/Microsoft/Windows/Temporary Internet Files/OLK868D/H_Hermes 2:123_Phenix_2011:Xx_Comunicato Stampa:Test_1.jpg"/>
                  <pic:cNvPicPr>
                    <a:picLocks noChangeAspect="1" noChangeArrowheads="1"/>
                  </pic:cNvPicPr>
                </pic:nvPicPr>
                <pic:blipFill>
                  <a:blip r:embed="rId1"/>
                  <a:stretch>
                    <a:fillRect/>
                  </a:stretch>
                </pic:blipFill>
                <pic:spPr bwMode="auto">
                  <a:xfrm>
                    <a:off x="0" y="0"/>
                    <a:ext cx="6184900" cy="1422400"/>
                  </a:xfrm>
                  <a:prstGeom prst="rect">
                    <a:avLst/>
                  </a:prstGeom>
                </pic:spPr>
              </pic:pic>
            </a:graphicData>
          </a:graphic>
        </wp:inline>
      </w:drawing>
    </w:r>
  </w:p>
</w:hdr>
</file>

<file path=word/settings.xml><?xml version="1.0" encoding="utf-8"?>
<w:settings xmlns:w="http://schemas.openxmlformats.org/wordprocessingml/2006/main">
  <w:zoom w:val="bestFit" w:percent="144"/>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zh-CN" w:bidi="ar-SA"/>
      </w:rPr>
    </w:rPrDefault>
    <w:pPrDefault>
      <w:pPr>
        <w:suppressAutoHyphens w:val="true"/>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ef026b"/>
    <w:pPr>
      <w:widowControl/>
      <w:suppressAutoHyphens w:val="true"/>
      <w:bidi w:val="0"/>
      <w:spacing w:before="0" w:after="0"/>
      <w:jc w:val="left"/>
    </w:pPr>
    <w:rPr>
      <w:rFonts w:ascii="Times New Roman" w:hAnsi="Times New Roman" w:eastAsia="Times New Roman" w:cs="Times New Roman"/>
      <w:color w:val="auto"/>
      <w:kern w:val="0"/>
      <w:sz w:val="24"/>
      <w:szCs w:val="24"/>
      <w:lang w:val="it-IT" w:eastAsia="it-IT" w:bidi="ar-SA"/>
    </w:rPr>
  </w:style>
  <w:style w:type="paragraph" w:styleId="Heading1">
    <w:name w:val="Heading 1"/>
    <w:basedOn w:val="Normal"/>
    <w:next w:val="Normal"/>
    <w:link w:val="Titolo1Carattere"/>
    <w:qFormat/>
    <w:pPr>
      <w:keepNext w:val="true"/>
      <w:jc w:val="both"/>
      <w:outlineLvl w:val="0"/>
    </w:pPr>
    <w:rPr>
      <w:rFonts w:ascii="Bodoni" w:hAnsi="Bodoni"/>
      <w:b/>
      <w:szCs w:val="20"/>
      <w:u w:val="single"/>
    </w:rPr>
  </w:style>
  <w:style w:type="paragraph" w:styleId="Heading2">
    <w:name w:val="Heading 2"/>
    <w:basedOn w:val="Normal"/>
    <w:next w:val="Normal"/>
    <w:qFormat/>
    <w:rsid w:val="00364d15"/>
    <w:pPr>
      <w:keepNext w:val="true"/>
      <w:spacing w:before="360" w:after="360"/>
      <w:jc w:val="center"/>
      <w:outlineLvl w:val="1"/>
    </w:pPr>
    <w:rPr>
      <w:b/>
      <w:sz w:val="28"/>
      <w:szCs w:val="20"/>
    </w:rPr>
  </w:style>
  <w:style w:type="paragraph" w:styleId="Heading3">
    <w:name w:val="Heading 3"/>
    <w:basedOn w:val="Normal"/>
    <w:next w:val="Normal"/>
    <w:qFormat/>
    <w:pPr>
      <w:keepNext w:val="true"/>
      <w:spacing w:before="360" w:after="60"/>
      <w:ind w:firstLine="709"/>
      <w:jc w:val="both"/>
      <w:outlineLvl w:val="2"/>
    </w:pPr>
    <w:rPr>
      <w:rFonts w:ascii="Palatino" w:hAnsi="Palatino"/>
      <w:b/>
      <w:sz w:val="28"/>
      <w:szCs w:val="20"/>
    </w:rPr>
  </w:style>
  <w:style w:type="paragraph" w:styleId="Heading4">
    <w:name w:val="Heading 4"/>
    <w:basedOn w:val="Normal"/>
    <w:next w:val="Normal"/>
    <w:qFormat/>
    <w:pPr>
      <w:keepNext w:val="true"/>
      <w:ind w:firstLine="709"/>
      <w:jc w:val="center"/>
      <w:outlineLvl w:val="3"/>
    </w:pPr>
    <w:rPr>
      <w:b/>
      <w:sz w:val="56"/>
      <w:szCs w:val="20"/>
    </w:rPr>
  </w:style>
  <w:style w:type="paragraph" w:styleId="Heading5">
    <w:name w:val="Heading 5"/>
    <w:basedOn w:val="Normal"/>
    <w:next w:val="Normal"/>
    <w:qFormat/>
    <w:pPr>
      <w:keepNext w:val="true"/>
      <w:ind w:firstLine="709"/>
      <w:jc w:val="right"/>
      <w:outlineLvl w:val="4"/>
    </w:pPr>
    <w:rPr>
      <w:b/>
      <w:sz w:val="18"/>
      <w:szCs w:val="20"/>
    </w:rPr>
  </w:style>
  <w:style w:type="paragraph" w:styleId="Heading6">
    <w:name w:val="Heading 6"/>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center"/>
      <w:outlineLvl w:val="5"/>
    </w:pPr>
    <w:rPr>
      <w:b/>
      <w:color w:val="000000"/>
      <w:sz w:val="28"/>
      <w:szCs w:val="20"/>
    </w:rPr>
  </w:style>
  <w:style w:type="paragraph" w:styleId="Heading7">
    <w:name w:val="Heading 7"/>
    <w:basedOn w:val="Normal"/>
    <w:next w:val="Normal"/>
    <w:qFormat/>
    <w:pPr>
      <w:keepNext w:val="true"/>
      <w:tabs>
        <w:tab w:val="clear" w:pos="708"/>
        <w:tab w:val="left" w:pos="700" w:leader="none"/>
        <w:tab w:val="left" w:pos="1400" w:leader="none"/>
        <w:tab w:val="left" w:pos="2120" w:leader="none"/>
        <w:tab w:val="left" w:pos="2820" w:leader="none"/>
        <w:tab w:val="left" w:pos="3540" w:leader="none"/>
        <w:tab w:val="left" w:pos="4240" w:leader="none"/>
        <w:tab w:val="left" w:pos="4940" w:leader="none"/>
        <w:tab w:val="left" w:pos="5660" w:leader="none"/>
        <w:tab w:val="left" w:pos="6360" w:leader="none"/>
        <w:tab w:val="left" w:pos="7080" w:leader="none"/>
        <w:tab w:val="left" w:pos="7780" w:leader="none"/>
        <w:tab w:val="left" w:pos="8480" w:leader="none"/>
        <w:tab w:val="left" w:pos="9200" w:leader="none"/>
      </w:tabs>
      <w:spacing w:lineRule="atLeast" w:line="360"/>
      <w:ind w:firstLine="709"/>
      <w:jc w:val="both"/>
      <w:outlineLvl w:val="6"/>
    </w:pPr>
    <w:rPr>
      <w:sz w:val="28"/>
      <w:szCs w:val="20"/>
      <w:lang w:eastAsia="ja-JP"/>
    </w:rPr>
  </w:style>
  <w:style w:type="paragraph" w:styleId="Heading8">
    <w:name w:val="Heading 8"/>
    <w:basedOn w:val="Normal"/>
    <w:next w:val="Normal"/>
    <w:qFormat/>
    <w:pPr>
      <w:keepNext w:val="true"/>
      <w:spacing w:lineRule="atLeast" w:line="360"/>
      <w:ind w:firstLine="709"/>
      <w:jc w:val="both"/>
      <w:outlineLvl w:val="7"/>
    </w:pPr>
    <w:rPr>
      <w:b/>
      <w:color w:val="000000"/>
      <w:szCs w:val="20"/>
    </w:rPr>
  </w:style>
  <w:style w:type="paragraph" w:styleId="Heading9">
    <w:name w:val="Heading 9"/>
    <w:basedOn w:val="Normal"/>
    <w:next w:val="Normal"/>
    <w:qFormat/>
    <w:pPr>
      <w:keepNext w:val="true"/>
      <w:ind w:firstLine="709"/>
      <w:jc w:val="both"/>
      <w:outlineLvl w:val="8"/>
    </w:pPr>
    <w:rPr>
      <w:sz w:val="48"/>
      <w:szCs w:val="20"/>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TestoCarattere" w:customStyle="1">
    <w:name w:val="Testo Carattere"/>
    <w:link w:val="Testo"/>
    <w:qFormat/>
    <w:rsid w:val="008c6757"/>
    <w:rPr>
      <w:sz w:val="24"/>
      <w:lang w:val="it-IT" w:eastAsia="it-IT" w:bidi="ar-SA"/>
    </w:rPr>
  </w:style>
  <w:style w:type="character" w:styleId="TitoliCarattere" w:customStyle="1">
    <w:name w:val="Titoli Carattere"/>
    <w:link w:val="Titoli"/>
    <w:qFormat/>
    <w:rsid w:val="000a27e6"/>
    <w:rPr>
      <w:smallCaps/>
      <w:sz w:val="24"/>
      <w:szCs w:val="24"/>
      <w:lang w:val="it-IT" w:eastAsia="it-IT" w:bidi="ar-SA"/>
    </w:rPr>
  </w:style>
  <w:style w:type="character" w:styleId="TestononindentatoCarattere" w:customStyle="1">
    <w:name w:val="Testo non indentato Carattere"/>
    <w:basedOn w:val="TestoCarattere"/>
    <w:link w:val="Testononindentato"/>
    <w:qFormat/>
    <w:rsid w:val="000a27e6"/>
    <w:rPr>
      <w:sz w:val="24"/>
      <w:lang w:val="it-IT" w:eastAsia="it-IT" w:bidi="ar-SA"/>
    </w:rPr>
  </w:style>
  <w:style w:type="character" w:styleId="Collegamentoipertestuale1" w:customStyle="1">
    <w:name w:val="Collegamento ipertestuale1"/>
    <w:basedOn w:val="DefaultParagraphFont"/>
    <w:uiPriority w:val="99"/>
    <w:unhideWhenUsed/>
    <w:qFormat/>
    <w:rsid w:val="00021de9"/>
    <w:rPr>
      <w:color w:val="0000FF"/>
      <w:u w:val="single"/>
    </w:rPr>
  </w:style>
  <w:style w:type="character" w:styleId="Collegamentovisitato1" w:customStyle="1">
    <w:name w:val="Collegamento visitato1"/>
    <w:qFormat/>
    <w:rsid w:val="000a28a3"/>
    <w:rPr>
      <w:color w:val="800080"/>
      <w:u w:val="single"/>
    </w:rPr>
  </w:style>
  <w:style w:type="character" w:styleId="A23" w:customStyle="1">
    <w:name w:val="A23"/>
    <w:uiPriority w:val="99"/>
    <w:qFormat/>
    <w:rsid w:val="009245f7"/>
    <w:rPr>
      <w:rFonts w:cs="The Sans Bold"/>
      <w:i/>
      <w:iCs/>
      <w:color w:val="57585A"/>
      <w:sz w:val="30"/>
      <w:szCs w:val="30"/>
    </w:rPr>
  </w:style>
  <w:style w:type="character" w:styleId="A0" w:customStyle="1">
    <w:name w:val="A0"/>
    <w:uiPriority w:val="99"/>
    <w:qFormat/>
    <w:rsid w:val="002e7402"/>
    <w:rPr>
      <w:rFonts w:cs="Sabon"/>
      <w:color w:val="221E1F"/>
      <w:sz w:val="22"/>
      <w:szCs w:val="22"/>
    </w:rPr>
  </w:style>
  <w:style w:type="character" w:styleId="A17" w:customStyle="1">
    <w:name w:val="A17"/>
    <w:uiPriority w:val="99"/>
    <w:qFormat/>
    <w:rsid w:val="00e4598e"/>
    <w:rPr>
      <w:rFonts w:cs="RoemischStehend"/>
      <w:color w:val="221E1F"/>
      <w:sz w:val="28"/>
      <w:szCs w:val="28"/>
    </w:rPr>
  </w:style>
  <w:style w:type="character" w:styleId="Apple-converted-space" w:customStyle="1">
    <w:name w:val="apple-converted-space"/>
    <w:qFormat/>
    <w:rsid w:val="00a330e4"/>
    <w:rPr/>
  </w:style>
  <w:style w:type="character" w:styleId="Enfasicorsivo1" w:customStyle="1">
    <w:name w:val="Enfasi (corsivo)1"/>
    <w:basedOn w:val="DefaultParagraphFont"/>
    <w:uiPriority w:val="20"/>
    <w:qFormat/>
    <w:rsid w:val="006b44ac"/>
    <w:rPr>
      <w:i/>
      <w:iCs/>
    </w:rPr>
  </w:style>
  <w:style w:type="character" w:styleId="A7" w:customStyle="1">
    <w:name w:val="A7"/>
    <w:uiPriority w:val="99"/>
    <w:qFormat/>
    <w:rsid w:val="0042370d"/>
    <w:rPr>
      <w:rFonts w:cs="Sabon"/>
      <w:color w:val="000000"/>
    </w:rPr>
  </w:style>
  <w:style w:type="character" w:styleId="Titolo1Carattere" w:customStyle="1">
    <w:name w:val="Titolo 1 Carattere"/>
    <w:qFormat/>
    <w:rsid w:val="001662b4"/>
    <w:rPr>
      <w:rFonts w:ascii="Bodoni" w:hAnsi="Bodoni"/>
      <w:b/>
      <w:sz w:val="24"/>
      <w:u w:val="single"/>
      <w:lang w:eastAsia="it-IT"/>
    </w:rPr>
  </w:style>
  <w:style w:type="character" w:styleId="Normaltextrun" w:customStyle="1">
    <w:name w:val="normaltextrun"/>
    <w:basedOn w:val="DefaultParagraphFont"/>
    <w:qFormat/>
    <w:rsid w:val="00d45b17"/>
    <w:rPr/>
  </w:style>
  <w:style w:type="character" w:styleId="Spellingerror" w:customStyle="1">
    <w:name w:val="spellingerror"/>
    <w:basedOn w:val="DefaultParagraphFont"/>
    <w:qFormat/>
    <w:rsid w:val="00d45b17"/>
    <w:rPr/>
  </w:style>
  <w:style w:type="character" w:styleId="Eop" w:customStyle="1">
    <w:name w:val="eop"/>
    <w:basedOn w:val="DefaultParagraphFont"/>
    <w:qFormat/>
    <w:rsid w:val="00d45b17"/>
    <w:rPr/>
  </w:style>
  <w:style w:type="character" w:styleId="Italic" w:customStyle="1">
    <w:name w:val="italic"/>
    <w:basedOn w:val="DefaultParagraphFont"/>
    <w:qFormat/>
    <w:rsid w:val="00d209a3"/>
    <w:rPr/>
  </w:style>
  <w:style w:type="character" w:styleId="Strong">
    <w:name w:val="Strong"/>
    <w:basedOn w:val="DefaultParagraphFont"/>
    <w:uiPriority w:val="22"/>
    <w:qFormat/>
    <w:rsid w:val="00cf6f78"/>
    <w:rPr>
      <w:b/>
      <w:bCs/>
    </w:rPr>
  </w:style>
  <w:style w:type="paragraph" w:styleId="Titolo" w:customStyle="1">
    <w:name w:val="Tito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rFonts w:cs="Arial"/>
    </w:rPr>
  </w:style>
  <w:style w:type="paragraph" w:styleId="Title">
    <w:name w:val="Title"/>
    <w:basedOn w:val="Normal"/>
    <w:next w:val="BodyText"/>
    <w:qFormat/>
    <w:pPr>
      <w:keepNext w:val="true"/>
      <w:spacing w:before="240" w:after="120"/>
    </w:pPr>
    <w:rPr>
      <w:rFonts w:ascii="Liberation Sans" w:hAnsi="Liberation Sans" w:eastAsia="Microsoft YaHei" w:cs="Arial"/>
      <w:sz w:val="28"/>
      <w:szCs w:val="28"/>
    </w:rPr>
  </w:style>
  <w:style w:type="paragraph" w:styleId="Caption1">
    <w:name w:val="caption1"/>
    <w:basedOn w:val="Normal"/>
    <w:qFormat/>
    <w:pPr>
      <w:suppressLineNumbers/>
      <w:spacing w:before="120" w:after="120"/>
    </w:pPr>
    <w:rPr>
      <w:rFonts w:cs="Arial"/>
      <w:i/>
      <w:iCs/>
    </w:rPr>
  </w:style>
  <w:style w:type="paragraph" w:styleId="Caption11" w:customStyle="1">
    <w:name w:val="caption11"/>
    <w:basedOn w:val="Normal"/>
    <w:qFormat/>
    <w:pPr>
      <w:suppressLineNumbers/>
      <w:spacing w:before="120" w:after="120"/>
    </w:pPr>
    <w:rPr>
      <w:rFonts w:cs="Arial"/>
      <w:i/>
      <w:iCs/>
    </w:rPr>
  </w:style>
  <w:style w:type="paragraph" w:styleId="Caption111" w:customStyle="1">
    <w:name w:val="caption111"/>
    <w:basedOn w:val="Normal"/>
    <w:qFormat/>
    <w:pPr>
      <w:suppressLineNumbers/>
      <w:spacing w:before="120" w:after="120"/>
    </w:pPr>
    <w:rPr>
      <w:rFonts w:cs="Arial"/>
      <w:i/>
      <w:iCs/>
    </w:rPr>
  </w:style>
  <w:style w:type="paragraph" w:styleId="Intestazioneepidipagina" w:customStyle="1">
    <w:name w:val="Intestazione e piè di pagina"/>
    <w:basedOn w:val="Normal"/>
    <w:qFormat/>
    <w:pPr/>
    <w:rPr/>
  </w:style>
  <w:style w:type="paragraph" w:styleId="Footer">
    <w:name w:val="Footer"/>
    <w:basedOn w:val="Normal"/>
    <w:pPr>
      <w:tabs>
        <w:tab w:val="clear" w:pos="708"/>
        <w:tab w:val="right" w:pos="9638" w:leader="none"/>
      </w:tabs>
      <w:jc w:val="center"/>
    </w:pPr>
    <w:rPr>
      <w:rFonts w:ascii="Palatino" w:hAnsi="Palatino"/>
      <w:szCs w:val="20"/>
    </w:rPr>
  </w:style>
  <w:style w:type="paragraph" w:styleId="Header">
    <w:name w:val="Header"/>
    <w:basedOn w:val="Normal"/>
    <w:pPr>
      <w:tabs>
        <w:tab w:val="clear" w:pos="708"/>
        <w:tab w:val="center" w:pos="4819" w:leader="none"/>
        <w:tab w:val="right" w:pos="9638" w:leader="none"/>
      </w:tabs>
      <w:ind w:firstLine="709"/>
      <w:jc w:val="both"/>
    </w:pPr>
    <w:rPr>
      <w:szCs w:val="20"/>
    </w:rPr>
  </w:style>
  <w:style w:type="paragraph" w:styleId="DocumentMap">
    <w:name w:val="Document Map"/>
    <w:basedOn w:val="Normal"/>
    <w:semiHidden/>
    <w:qFormat/>
    <w:rsid w:val="004320ec"/>
    <w:pPr>
      <w:shd w:val="clear" w:color="auto" w:fill="000080"/>
    </w:pPr>
    <w:rPr>
      <w:rFonts w:ascii="Tahoma" w:hAnsi="Tahoma" w:cs="Tahoma"/>
      <w:sz w:val="20"/>
    </w:rPr>
  </w:style>
  <w:style w:type="paragraph" w:styleId="Testo" w:customStyle="1">
    <w:name w:val="Testo"/>
    <w:basedOn w:val="Caption1"/>
    <w:link w:val="TestoCarattere"/>
    <w:qFormat/>
    <w:pPr/>
    <w:rPr/>
  </w:style>
  <w:style w:type="paragraph" w:styleId="Titoli" w:customStyle="1">
    <w:name w:val="Titoli"/>
    <w:basedOn w:val="Normal"/>
    <w:link w:val="TitoliCarattere"/>
    <w:qFormat/>
    <w:rsid w:val="000a27e6"/>
    <w:pPr/>
    <w:rPr>
      <w:smallCaps/>
    </w:rPr>
  </w:style>
  <w:style w:type="paragraph" w:styleId="Testononindentato" w:customStyle="1">
    <w:name w:val="Testo non indentato"/>
    <w:basedOn w:val="Testo"/>
    <w:link w:val="TestononindentatoCarattere"/>
    <w:qFormat/>
    <w:rsid w:val="000a27e6"/>
    <w:pPr>
      <w:ind w:hanging="0"/>
    </w:pPr>
    <w:rPr/>
  </w:style>
  <w:style w:type="paragraph" w:styleId="Pa0" w:customStyle="1">
    <w:name w:val="Pa0"/>
    <w:basedOn w:val="Normal"/>
    <w:next w:val="Normal"/>
    <w:uiPriority w:val="99"/>
    <w:qFormat/>
    <w:rsid w:val="009245f7"/>
    <w:pPr>
      <w:widowControl w:val="false"/>
      <w:spacing w:lineRule="atLeast" w:line="241"/>
    </w:pPr>
    <w:rPr>
      <w:rFonts w:ascii="The Sans Bold" w:hAnsi="The Sans Bold" w:eastAsia="Calibri"/>
    </w:rPr>
  </w:style>
  <w:style w:type="paragraph" w:styleId="Default" w:customStyle="1">
    <w:name w:val="Default"/>
    <w:qFormat/>
    <w:rsid w:val="009245f7"/>
    <w:pPr>
      <w:widowControl w:val="false"/>
      <w:suppressAutoHyphens w:val="true"/>
      <w:bidi w:val="0"/>
      <w:spacing w:before="0" w:after="0"/>
      <w:jc w:val="left"/>
    </w:pPr>
    <w:rPr>
      <w:rFonts w:ascii="The Sans Bold" w:hAnsi="The Sans Bold" w:eastAsia="Calibri" w:cs="The Sans Bold"/>
      <w:color w:val="000000"/>
      <w:kern w:val="0"/>
      <w:sz w:val="24"/>
      <w:szCs w:val="24"/>
      <w:lang w:val="it-IT" w:eastAsia="it-IT" w:bidi="ar-SA"/>
    </w:rPr>
  </w:style>
  <w:style w:type="paragraph" w:styleId="Pa18" w:customStyle="1">
    <w:name w:val="Pa18"/>
    <w:basedOn w:val="Normal"/>
    <w:next w:val="Normal"/>
    <w:uiPriority w:val="99"/>
    <w:qFormat/>
    <w:rsid w:val="0042370d"/>
    <w:pPr>
      <w:widowControl w:val="false"/>
      <w:spacing w:lineRule="atLeast" w:line="321"/>
    </w:pPr>
    <w:rPr>
      <w:rFonts w:ascii="Sabon" w:hAnsi="Sabon" w:eastAsia="Calibri"/>
      <w:lang w:eastAsia="en-US"/>
    </w:rPr>
  </w:style>
  <w:style w:type="paragraph" w:styleId="P1" w:customStyle="1">
    <w:name w:val="p1"/>
    <w:basedOn w:val="Normal"/>
    <w:qFormat/>
    <w:rsid w:val="00f6158e"/>
    <w:pPr/>
    <w:rPr>
      <w:rFonts w:ascii="Lucida Grande" w:hAnsi="Lucida Grande" w:eastAsia="Calibri" w:cs="Lucida Grande"/>
      <w:color w:val="000000"/>
      <w:sz w:val="15"/>
      <w:szCs w:val="15"/>
    </w:rPr>
  </w:style>
  <w:style w:type="paragraph" w:styleId="Paragraph" w:customStyle="1">
    <w:name w:val="paragraph"/>
    <w:basedOn w:val="Normal"/>
    <w:qFormat/>
    <w:rsid w:val="00d45b17"/>
    <w:pPr>
      <w:spacing w:beforeAutospacing="1" w:afterAutospacing="1"/>
    </w:pPr>
    <w:rPr/>
  </w:style>
  <w:style w:type="paragraph" w:styleId="NormalWeb">
    <w:name w:val="Normal (Web)"/>
    <w:basedOn w:val="Normal"/>
    <w:uiPriority w:val="99"/>
    <w:unhideWhenUsed/>
    <w:qFormat/>
    <w:rsid w:val="000e215e"/>
    <w:pPr>
      <w:spacing w:beforeAutospacing="1" w:afterAutospacing="1"/>
    </w:pPr>
    <w:rPr/>
  </w:style>
  <w:style w:type="paragraph" w:styleId="Didefault" w:customStyle="1">
    <w:name w:val="Di default"/>
    <w:qFormat/>
    <w:pPr>
      <w:widowControl/>
      <w:suppressAutoHyphens w:val="true"/>
      <w:bidi w:val="0"/>
      <w:spacing w:lineRule="auto" w:line="288" w:before="160" w:after="0"/>
      <w:jc w:val="left"/>
    </w:pPr>
    <w:rPr>
      <w:rFonts w:ascii="Helvetica Neue" w:hAnsi="Helvetica Neue" w:eastAsia="Arial Unicode MS" w:cs="Arial Unicode MS"/>
      <w:color w:val="000000"/>
      <w:kern w:val="0"/>
      <w:sz w:val="24"/>
      <w:szCs w:val="24"/>
      <w:lang w:val="it-IT" w:eastAsia="it-IT" w:bidi="ar-SA"/>
      <w14:textOutline w14:w="0" w14:cap="flat" w14:cmpd="sng" w14:algn="ctr">
        <w14:noFill/>
        <w14:prstDash w14:val="solid"/>
        <w14:bevel/>
      </w14:textOutline>
    </w:rPr>
  </w:style>
  <w:style w:type="numbering" w:styleId="NoList" w:default="1">
    <w:name w:val="No List"/>
    <w:uiPriority w:val="99"/>
    <w:semiHidden/>
    <w:unhideWhenUsed/>
    <w:qFormat/>
  </w:style>
  <w:style w:type="numbering" w:styleId="Nessunelenco" w:customStyle="1">
    <w:name w:val="Nessun elenco"/>
    <w:uiPriority w:val="99"/>
    <w:semiHidden/>
    <w:unhideWhenUsed/>
    <w:qFormat/>
  </w:style>
  <w:style w:type="table" w:default="1" w:styleId="Tabellanorma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3.xml.rels><?xml version="1.0" encoding="UTF-8"?>
<Relationships xmlns="http://schemas.openxmlformats.org/package/2006/relationships"><Relationship Id="rId1" Type="http://schemas.openxmlformats.org/officeDocument/2006/relationships/image" Target="media/image3.jpeg"/><Relationship Id="rId2" Type="http://schemas.openxmlformats.org/officeDocument/2006/relationships/image" Target="media/image4.jpeg"/><Relationship Id="rId3" Type="http://schemas.openxmlformats.org/officeDocument/2006/relationships/image" Target="media/image5.png"/>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xmlns:r="http://schemas.openxmlformats.org/officeDocument/2006/relationships" name="Tema di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5BA4A-A625-44BA-894F-3BD18384B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TotalTime>
  <Application>LibreOffice/7.6.2.1$Windows_X86_64 LibreOffice_project/56f7684011345957bbf33a7ee678afaf4d2ba333</Application>
  <AppVersion>15.0000</AppVersion>
  <Pages>3</Pages>
  <Words>1326</Words>
  <Characters>7710</Characters>
  <CharactersWithSpaces>9029</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2019-05-23T12:44:00Z</dcterms:created>
  <dc:creator>Elena</dc:creator>
  <dc:description/>
  <dc:language>it-IT</dc:language>
  <cp:lastModifiedBy/>
  <cp:lastPrinted>2023-07-03T14:47:00Z</cp:lastPrinted>
  <dcterms:modified xsi:type="dcterms:W3CDTF">2026-06-04T10:39:35Z</dcterms:modified>
  <cp:revision>1062</cp:revision>
  <dc:subject/>
  <dc:title>Comunicato.doc</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