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3.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header1.xml" ContentType="application/vnd.openxmlformats-officedocument.wordprocessingml.header+xml"/>
  <Override PartName="/word/document.xml" ContentType="application/vnd.openxmlformats-officedocument.wordprocessingml.document.main+xml"/>
  <Override PartName="/word/footer3.xml" ContentType="application/vnd.openxmlformats-officedocument.wordprocessingml.footer+xml"/>
  <Override PartName="/word/media/image1.jpeg" ContentType="image/jpeg"/>
  <Override PartName="/word/media/image5.png" ContentType="image/png"/>
  <Override PartName="/word/media/image2.jpeg" ContentType="image/jpeg"/>
  <Override PartName="/word/media/image3.jpeg" ContentType="image/jpeg"/>
  <Override PartName="/word/media/image4.jpeg" ContentType="image/jpeg"/>
  <Override PartName="/word/settings.xml" ContentType="application/vnd.openxmlformats-officedocument.wordprocessingml.setting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idefault"/>
        <w:keepNext w:val="true"/>
        <w:numPr>
          <w:ilvl w:val="0"/>
          <w:numId w:val="0"/>
        </w:numPr>
        <w:tabs>
          <w:tab w:val="clear" w:pos="708"/>
          <w:tab w:val="right" w:pos="9612" w:leader="none"/>
        </w:tabs>
        <w:spacing w:lineRule="auto" w:line="240" w:before="0" w:after="0"/>
        <w:ind w:hanging="0" w:left="0"/>
        <w:jc w:val="both"/>
        <w:outlineLvl w:val="0"/>
        <w:rPr>
          <w:rFonts w:ascii="Times New Roman" w:hAnsi="Times New Roman"/>
          <w:b/>
          <w:bCs/>
          <w:u w:val="single" w:color="000000"/>
        </w:rPr>
      </w:pPr>
      <w:r>
        <w:rPr>
          <w:rFonts w:ascii="Times New Roman" w:hAnsi="Times New Roman"/>
          <w:b/>
          <w:bCs/>
          <w:u w:val="single" w:color="000000"/>
        </w:rPr>
      </w:r>
    </w:p>
    <w:p>
      <w:pPr>
        <w:pStyle w:val="Didefault"/>
        <w:keepNext w:val="true"/>
        <w:numPr>
          <w:ilvl w:val="0"/>
          <w:numId w:val="0"/>
        </w:numPr>
        <w:tabs>
          <w:tab w:val="clear" w:pos="708"/>
          <w:tab w:val="right" w:pos="9612" w:leader="none"/>
        </w:tabs>
        <w:spacing w:lineRule="auto" w:line="240" w:before="0" w:after="0"/>
        <w:ind w:hanging="0" w:left="0"/>
        <w:jc w:val="both"/>
        <w:outlineLvl w:val="0"/>
        <w:rPr/>
      </w:pPr>
      <w:r>
        <w:rPr>
          <w:rFonts w:ascii="Times New Roman" w:hAnsi="Times New Roman"/>
          <w:b/>
          <w:bCs/>
          <w:u w:val="single" w:color="000000"/>
        </w:rPr>
        <w:t>COMUNICATO STAMPA</w:t>
      </w:r>
      <w:r>
        <w:rPr>
          <w:rFonts w:eastAsia="Times New Roman" w:cs="Times New Roman" w:ascii="Times New Roman" w:hAnsi="Times New Roman"/>
          <w:b/>
          <w:bCs/>
          <w:u w:val="none" w:color="000000"/>
        </w:rPr>
        <w:tab/>
        <w:t>Venezia, luglio 2026</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rPr>
          <w:rFonts w:ascii="Times New Roman" w:hAnsi="Times New Roman" w:eastAsia="Times New Roman" w:cs="Times New Roman"/>
          <w:b/>
          <w:bCs/>
          <w:sz w:val="28"/>
          <w:szCs w:val="28"/>
          <w:u w:val="none" w:color="000000"/>
        </w:rPr>
      </w:pPr>
      <w:r>
        <w:rPr>
          <w:rFonts w:eastAsia="Times New Roman" w:cs="Times New Roman" w:ascii="Times New Roman" w:hAnsi="Times New Roman"/>
          <w:b/>
          <w:bCs/>
          <w:sz w:val="28"/>
          <w:szCs w:val="28"/>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u w:val="none" w:color="000000"/>
        </w:rPr>
      </w:pPr>
      <w:r>
        <w:rPr>
          <w:rFonts w:ascii="Times New Roman" w:hAnsi="Times New Roman"/>
          <w:b/>
          <w:bCs/>
          <w:sz w:val="32"/>
          <w:szCs w:val="32"/>
          <w:u w:val="none" w:color="000000"/>
        </w:rPr>
        <w:t xml:space="preserve">Neil Thomson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u w:val="none" w:color="000000"/>
        </w:rPr>
      </w:pPr>
      <w:r>
        <w:rPr>
          <w:rFonts w:ascii="Times New Roman" w:hAnsi="Times New Roman"/>
          <w:b/>
          <w:bCs/>
          <w:sz w:val="32"/>
          <w:szCs w:val="32"/>
          <w:u w:val="none" w:color="000000"/>
        </w:rPr>
        <w:t xml:space="preserve">dirige l’Orchestra del Teatro La Fenice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pPr>
      <w:r>
        <w:rPr>
          <w:rFonts w:ascii="Times New Roman" w:hAnsi="Times New Roman"/>
          <w:b/>
          <w:bCs/>
          <w:sz w:val="32"/>
          <w:szCs w:val="32"/>
          <w:u w:val="none" w:color="000000"/>
        </w:rPr>
        <w:t>l’</w:t>
      </w:r>
      <w:r>
        <w:rPr>
          <w:rFonts w:ascii="Times New Roman" w:hAnsi="Times New Roman"/>
          <w:b/>
          <w:bCs/>
          <w:sz w:val="32"/>
          <w:szCs w:val="32"/>
          <w:u w:val="none" w:color="000000"/>
        </w:rPr>
        <w:t xml:space="preserve">1 </w:t>
      </w:r>
      <w:r>
        <w:rPr>
          <w:rFonts w:ascii="Times New Roman" w:hAnsi="Times New Roman"/>
          <w:b/>
          <w:bCs/>
          <w:sz w:val="32"/>
          <w:szCs w:val="32"/>
          <w:u w:val="none" w:color="000000"/>
        </w:rPr>
        <w:t>e 2 ottobre</w:t>
      </w:r>
      <w:r>
        <w:rPr>
          <w:rFonts w:ascii="Times New Roman" w:hAnsi="Times New Roman"/>
          <w:b/>
          <w:bCs/>
          <w:sz w:val="32"/>
          <w:szCs w:val="32"/>
          <w:u w:val="none" w:color="000000"/>
        </w:rPr>
        <w:t>, al Teatro Malibran</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u w:val="none" w:color="000000"/>
        </w:rPr>
      </w:pPr>
      <w:r>
        <w:rPr>
          <w:rFonts w:ascii="Times New Roman" w:hAnsi="Times New Roman"/>
          <w:b/>
          <w:bCs/>
          <w:sz w:val="32"/>
          <w:szCs w:val="32"/>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pPr>
      <w:r>
        <w:rPr>
          <w:rFonts w:ascii="Times New Roman" w:hAnsi="Times New Roman"/>
          <w:b/>
          <w:bCs/>
          <w:sz w:val="32"/>
          <w:szCs w:val="32"/>
          <w:u w:val="none" w:color="000000"/>
        </w:rPr>
        <w:t xml:space="preserve">Biglietti a 10,00 €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pPr>
      <w:r>
        <w:rPr>
          <w:rFonts w:eastAsia="Arial Unicode MS" w:cs="Arial Unicode MS" w:ascii="Times New Roman" w:hAnsi="Times New Roman"/>
          <w:b/>
          <w:bCs/>
          <w:color w:val="000000"/>
          <w:kern w:val="0"/>
          <w:sz w:val="32"/>
          <w:szCs w:val="32"/>
          <w:u w:val="none" w:color="000000"/>
          <w:lang w:val="it-IT" w:eastAsia="it-IT" w:bidi="ar-SA"/>
          <w14:textOutline w14:w="0" w14:cap="flat" w14:cmpd="sng" w14:algn="ctr">
            <w14:noFill/>
            <w14:prstDash w14:val="solid"/>
            <w14:bevel/>
          </w14:textOutline>
        </w:rPr>
        <w:t xml:space="preserve">per la replica di </w:t>
      </w:r>
      <w:r>
        <w:rPr>
          <w:rFonts w:eastAsia="Arial Unicode MS" w:cs="Arial Unicode MS" w:ascii="Times New Roman" w:hAnsi="Times New Roman"/>
          <w:b/>
          <w:bCs/>
          <w:color w:val="000000"/>
          <w:kern w:val="0"/>
          <w:sz w:val="32"/>
          <w:szCs w:val="32"/>
          <w:u w:val="none" w:color="000000"/>
          <w:lang w:val="it-IT" w:eastAsia="it-IT" w:bidi="ar-SA"/>
          <w14:textOutline w14:w="0" w14:cap="flat" w14:cmpd="sng" w14:algn="ctr">
            <w14:noFill/>
            <w14:prstDash w14:val="solid"/>
            <w14:bevel/>
          </w14:textOutline>
        </w:rPr>
        <w:t>v</w:t>
      </w:r>
      <w:r>
        <w:rPr>
          <w:rFonts w:eastAsia="Arial Unicode MS" w:cs="Arial Unicode MS" w:ascii="Times New Roman" w:hAnsi="Times New Roman"/>
          <w:b/>
          <w:bCs/>
          <w:color w:val="000000"/>
          <w:kern w:val="0"/>
          <w:sz w:val="32"/>
          <w:szCs w:val="32"/>
          <w:u w:val="none" w:color="000000"/>
          <w:lang w:val="it-IT" w:eastAsia="it-IT" w:bidi="ar-SA"/>
          <w14:textOutline w14:w="0" w14:cap="flat" w14:cmpd="sng" w14:algn="ctr">
            <w14:noFill/>
            <w14:prstDash w14:val="solid"/>
            <w14:bevel/>
          </w14:textOutline>
        </w:rPr>
        <w:t>e</w:t>
      </w:r>
      <w:r>
        <w:rPr>
          <w:rFonts w:eastAsia="Arial Unicode MS" w:cs="Arial Unicode MS" w:ascii="Times New Roman" w:hAnsi="Times New Roman"/>
          <w:b/>
          <w:bCs/>
          <w:color w:val="000000"/>
          <w:kern w:val="0"/>
          <w:sz w:val="32"/>
          <w:szCs w:val="32"/>
          <w:u w:val="none" w:color="000000"/>
          <w:lang w:val="it-IT" w:eastAsia="it-IT" w:bidi="ar-SA"/>
          <w14:textOutline w14:w="0" w14:cap="flat" w14:cmpd="sng" w14:algn="ctr">
            <w14:noFill/>
            <w14:prstDash w14:val="solid"/>
            <w14:bevel/>
          </w14:textOutline>
        </w:rPr>
        <w:t>n</w:t>
      </w:r>
      <w:r>
        <w:rPr>
          <w:rFonts w:eastAsia="Arial Unicode MS" w:cs="Arial Unicode MS" w:ascii="Times New Roman" w:hAnsi="Times New Roman"/>
          <w:b/>
          <w:bCs/>
          <w:color w:val="000000"/>
          <w:kern w:val="0"/>
          <w:sz w:val="32"/>
          <w:szCs w:val="32"/>
          <w:u w:val="none" w:color="000000"/>
          <w:lang w:val="it-IT" w:eastAsia="it-IT" w:bidi="ar-SA"/>
          <w14:textOutline w14:w="0" w14:cap="flat" w14:cmpd="sng" w14:algn="ctr">
            <w14:noFill/>
            <w14:prstDash w14:val="solid"/>
            <w14:bevel/>
          </w14:textOutline>
        </w:rPr>
        <w:t>e</w:t>
      </w:r>
      <w:r>
        <w:rPr>
          <w:rFonts w:eastAsia="Arial Unicode MS" w:cs="Arial Unicode MS" w:ascii="Times New Roman" w:hAnsi="Times New Roman"/>
          <w:b/>
          <w:bCs/>
          <w:color w:val="000000"/>
          <w:kern w:val="0"/>
          <w:sz w:val="32"/>
          <w:szCs w:val="32"/>
          <w:u w:val="none" w:color="000000"/>
          <w:lang w:val="it-IT" w:eastAsia="it-IT" w:bidi="ar-SA"/>
          <w14:textOutline w14:w="0" w14:cap="flat" w14:cmpd="sng" w14:algn="ctr">
            <w14:noFill/>
            <w14:prstDash w14:val="solid"/>
            <w14:bevel/>
          </w14:textOutline>
        </w:rPr>
        <w:t>rdì 2 ottobre</w:t>
      </w:r>
      <w:r>
        <w:rPr>
          <w:rFonts w:ascii="Times New Roman" w:hAnsi="Times New Roman"/>
          <w:b/>
          <w:bCs/>
          <w:sz w:val="32"/>
          <w:szCs w:val="32"/>
          <w:u w:val="none" w:color="000000"/>
        </w:rPr>
        <w:t xml:space="preserve">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pPr>
      <w:r>
        <w:rPr>
          <w:rFonts w:eastAsia="Arial Unicode MS" w:cs="Arial Unicode MS" w:ascii="Times New Roman" w:hAnsi="Times New Roman"/>
          <w:b/>
          <w:bCs/>
          <w:color w:val="000000"/>
          <w:kern w:val="0"/>
          <w:sz w:val="32"/>
          <w:szCs w:val="32"/>
          <w:u w:val="none" w:color="000000"/>
          <w:lang w:val="it-IT" w:eastAsia="it-IT" w:bidi="ar-SA"/>
          <w14:textOutline w14:w="0" w14:cap="flat" w14:cmpd="sng" w14:algn="ctr">
            <w14:noFill/>
            <w14:prstDash w14:val="solid"/>
            <w14:bevel/>
          </w14:textOutline>
        </w:rPr>
        <w:t>riservata agli under35</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u w:val="none" w:color="000000"/>
        </w:rPr>
      </w:pPr>
      <w:r>
        <w:rPr>
          <w:rFonts w:ascii="Times New Roman" w:hAnsi="Times New Roman"/>
          <w:b/>
          <w:bCs/>
          <w:sz w:val="32"/>
          <w:szCs w:val="32"/>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sz w:val="30"/>
          <w:szCs w:val="30"/>
        </w:rPr>
      </w:pPr>
      <w:r>
        <w:rPr>
          <w:rFonts w:ascii="Times New Roman" w:hAnsi="Times New Roman"/>
          <w:sz w:val="30"/>
          <w:szCs w:val="30"/>
          <w:u w:val="none" w:color="000000"/>
        </w:rPr>
        <w:t xml:space="preserve">in programma </w:t>
      </w:r>
      <w:r>
        <w:rPr>
          <w:rFonts w:ascii="Times New Roman" w:hAnsi="Times New Roman"/>
          <w:sz w:val="30"/>
          <w:szCs w:val="30"/>
          <w:u w:val="none" w:color="000000"/>
        </w:rPr>
        <w:t xml:space="preserve">il </w:t>
      </w:r>
      <w:r>
        <w:rPr>
          <w:rFonts w:ascii="Times New Roman" w:hAnsi="Times New Roman"/>
          <w:i/>
          <w:iCs/>
          <w:sz w:val="30"/>
          <w:szCs w:val="30"/>
          <w:u w:val="none" w:color="000000"/>
        </w:rPr>
        <w:t>Capriccio spagnolo</w:t>
      </w:r>
      <w:r>
        <w:rPr>
          <w:rFonts w:ascii="Times New Roman" w:hAnsi="Times New Roman"/>
          <w:sz w:val="30"/>
          <w:szCs w:val="30"/>
          <w:u w:val="none" w:color="000000"/>
        </w:rPr>
        <w:t xml:space="preserve"> di</w:t>
      </w:r>
      <w:r>
        <w:rPr>
          <w:rFonts w:ascii="Times New Roman" w:hAnsi="Times New Roman"/>
          <w:sz w:val="30"/>
          <w:szCs w:val="30"/>
          <w:u w:val="none" w:color="000000"/>
        </w:rPr>
        <w:t xml:space="preserve"> </w:t>
      </w:r>
      <w:r>
        <w:rPr>
          <w:rFonts w:ascii="Times New Roman" w:hAnsi="Times New Roman"/>
          <w:sz w:val="30"/>
          <w:szCs w:val="30"/>
          <w:u w:val="none" w:color="000000"/>
        </w:rPr>
        <w:t>Rimskij-Korsakov,</w:t>
      </w:r>
      <w:r>
        <w:rPr>
          <w:rFonts w:ascii="Times New Roman" w:hAnsi="Times New Roman"/>
          <w:sz w:val="30"/>
          <w:szCs w:val="30"/>
          <w:u w:val="none" w:color="000000"/>
        </w:rPr>
        <w:t xml:space="preserve">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sz w:val="30"/>
          <w:szCs w:val="30"/>
          <w:u w:val="none" w:color="000000"/>
        </w:rPr>
      </w:pPr>
      <w:r>
        <w:rPr>
          <w:rFonts w:ascii="Times New Roman" w:hAnsi="Times New Roman"/>
          <w:sz w:val="30"/>
          <w:szCs w:val="30"/>
          <w:u w:val="none" w:color="000000"/>
        </w:rPr>
        <w:t xml:space="preserve">le </w:t>
      </w:r>
      <w:r>
        <w:rPr>
          <w:rFonts w:ascii="Times New Roman" w:hAnsi="Times New Roman"/>
          <w:i/>
          <w:iCs/>
          <w:sz w:val="30"/>
          <w:szCs w:val="30"/>
          <w:u w:val="none" w:color="000000"/>
        </w:rPr>
        <w:t>Enigma Variations</w:t>
      </w:r>
      <w:r>
        <w:rPr>
          <w:rFonts w:ascii="Times New Roman" w:hAnsi="Times New Roman"/>
          <w:sz w:val="30"/>
          <w:szCs w:val="30"/>
          <w:u w:val="none" w:color="000000"/>
        </w:rPr>
        <w:t xml:space="preserve"> di Elgar</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sz w:val="30"/>
          <w:szCs w:val="30"/>
          <w:u w:val="none" w:color="000000"/>
        </w:rPr>
      </w:pPr>
      <w:r>
        <w:rPr>
          <w:rFonts w:ascii="Times New Roman" w:hAnsi="Times New Roman"/>
          <w:sz w:val="30"/>
          <w:szCs w:val="30"/>
          <w:u w:val="none" w:color="000000"/>
        </w:rPr>
        <w:t xml:space="preserve">e il </w:t>
      </w:r>
      <w:r>
        <w:rPr>
          <w:rFonts w:ascii="Times New Roman" w:hAnsi="Times New Roman"/>
          <w:i/>
          <w:iCs/>
          <w:sz w:val="30"/>
          <w:szCs w:val="30"/>
          <w:u w:val="none" w:color="000000"/>
        </w:rPr>
        <w:t>Concerto d’Aranjuez</w:t>
      </w:r>
      <w:r>
        <w:rPr>
          <w:rFonts w:ascii="Times New Roman" w:hAnsi="Times New Roman"/>
          <w:sz w:val="30"/>
          <w:szCs w:val="30"/>
          <w:u w:val="none" w:color="000000"/>
        </w:rPr>
        <w:t xml:space="preserve"> di Rodrigo eseguito dal chitarrista Marco Tamayo</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eastAsia="Times New Roman" w:cs="Times New Roman"/>
          <w:sz w:val="28"/>
          <w:szCs w:val="28"/>
          <w:u w:val="none" w:color="000000"/>
        </w:rPr>
      </w:pPr>
      <w:r>
        <w:rPr>
          <w:rFonts w:eastAsia="Times New Roman" w:cs="Times New Roman" w:ascii="Times New Roman" w:hAnsi="Times New Roman"/>
          <w:sz w:val="28"/>
          <w:szCs w:val="28"/>
          <w:u w:val="none" w:color="000000"/>
        </w:rPr>
      </w:r>
    </w:p>
    <w:p>
      <w:pPr>
        <w:pStyle w:val="NormalWeb"/>
        <w:shd w:val="clear" w:color="auto" w:fill="FFFFFF" w:themeFill="background1"/>
        <w:spacing w:beforeAutospacing="0" w:before="0" w:afterAutospacing="0" w:after="0"/>
        <w:jc w:val="both"/>
        <w:rPr>
          <w:b w:val="false"/>
          <w:bCs w:val="false"/>
        </w:rPr>
      </w:pPr>
      <w:r>
        <w:rPr>
          <w:b w:val="false"/>
          <w:bCs w:val="false"/>
        </w:rPr>
        <w:t xml:space="preserve">La Spagna immaginata da Nikolaj Rimskij-Korsakov e Joaquín Rodrigo, accostata all'invenzione orchestrale delle </w:t>
      </w:r>
      <w:r>
        <w:rPr>
          <w:b w:val="false"/>
          <w:bCs w:val="false"/>
          <w:i/>
          <w:iCs/>
        </w:rPr>
        <w:t>Enigma Variations</w:t>
      </w:r>
      <w:r>
        <w:rPr>
          <w:b w:val="false"/>
          <w:bCs w:val="false"/>
        </w:rPr>
        <w:t xml:space="preserve"> di Edward Elgar: è questo </w:t>
      </w:r>
      <w:r>
        <w:rPr>
          <w:b w:val="false"/>
          <w:bCs w:val="false"/>
        </w:rPr>
        <w:t>programma musicale</w:t>
      </w:r>
      <w:r>
        <w:rPr>
          <w:b w:val="false"/>
          <w:bCs w:val="false"/>
        </w:rPr>
        <w:t xml:space="preserve"> del prossimo appuntamento della Stagione Sinfonica 2025-2026 della Fondazione Teatro La Fenice, in programma al </w:t>
      </w:r>
      <w:r>
        <w:rPr>
          <w:b/>
          <w:bCs/>
        </w:rPr>
        <w:t>Teatro Malibran giovedì 1 ottobre 2026 alle ore 20.00</w:t>
      </w:r>
      <w:r>
        <w:rPr>
          <w:b w:val="false"/>
          <w:bCs w:val="false"/>
        </w:rPr>
        <w:t xml:space="preserve"> (turno S) e, </w:t>
      </w:r>
      <w:r>
        <w:rPr>
          <w:b/>
          <w:bCs/>
        </w:rPr>
        <w:t>in esclusiva per il pubblico under35, venerdì 2 ottobre 2026 alle ore 17.00</w:t>
      </w:r>
      <w:r>
        <w:rPr>
          <w:b w:val="false"/>
          <w:bCs w:val="false"/>
        </w:rPr>
        <w:t xml:space="preserve">. </w:t>
      </w:r>
      <w:r>
        <w:rPr>
          <w:b w:val="false"/>
          <w:bCs w:val="false"/>
        </w:rPr>
        <w:t>A dirigere,</w:t>
      </w:r>
      <w:r>
        <w:rPr>
          <w:b w:val="false"/>
          <w:bCs w:val="false"/>
        </w:rPr>
        <w:t xml:space="preserve"> il direttore britannico </w:t>
      </w:r>
      <w:r>
        <w:rPr>
          <w:b/>
          <w:bCs/>
        </w:rPr>
        <w:t>Neil Thomson</w:t>
      </w:r>
      <w:r>
        <w:rPr>
          <w:b w:val="false"/>
          <w:bCs w:val="false"/>
        </w:rPr>
        <w:t xml:space="preserve">. Nato a Londra nel 1966 e dal 2024 direttore artistico del Toyama International Contemporary Music Festival e della Sinfonia Toyama, </w:t>
      </w:r>
      <w:r>
        <w:rPr>
          <w:b w:val="false"/>
          <w:bCs w:val="false"/>
        </w:rPr>
        <w:t>Thomson</w:t>
      </w:r>
      <w:r>
        <w:rPr>
          <w:b w:val="false"/>
          <w:bCs w:val="false"/>
        </w:rPr>
        <w:t xml:space="preserve"> guiderà l'Orchestra del Teatro La Fenice in un programma di forte suggestione che affianca due capolavori ispirati alla Spagna – il </w:t>
      </w:r>
      <w:r>
        <w:rPr>
          <w:b w:val="false"/>
          <w:bCs w:val="false"/>
          <w:i/>
          <w:iCs/>
        </w:rPr>
        <w:t>Capriccio espagnol</w:t>
      </w:r>
      <w:r>
        <w:rPr>
          <w:b w:val="false"/>
          <w:bCs w:val="false"/>
        </w:rPr>
        <w:t xml:space="preserve"> op. 34 di Nikolaj Rimskij-Korsakov e il </w:t>
      </w:r>
      <w:r>
        <w:rPr>
          <w:b w:val="false"/>
          <w:bCs w:val="false"/>
          <w:i/>
          <w:iCs/>
        </w:rPr>
        <w:t xml:space="preserve">Concerto d'Aranjuez </w:t>
      </w:r>
      <w:r>
        <w:rPr>
          <w:b w:val="false"/>
          <w:bCs w:val="false"/>
        </w:rPr>
        <w:t xml:space="preserve">di Joaquín Rodrigo, con il chitarrista Marco Tamayo in veste di solista – alle </w:t>
      </w:r>
      <w:r>
        <w:rPr>
          <w:b w:val="false"/>
          <w:bCs w:val="false"/>
          <w:i/>
          <w:iCs/>
        </w:rPr>
        <w:t>Variations on an Original Theme</w:t>
      </w:r>
      <w:r>
        <w:rPr>
          <w:b w:val="false"/>
          <w:bCs w:val="false"/>
        </w:rPr>
        <w:t xml:space="preserve"> op. 36 di Edward Elgar.</w:t>
      </w:r>
    </w:p>
    <w:p>
      <w:pPr>
        <w:pStyle w:val="NormalWeb"/>
        <w:shd w:val="clear" w:color="auto" w:fill="FFFFFF" w:themeFill="background1"/>
        <w:spacing w:beforeAutospacing="0" w:before="0" w:afterAutospacing="0" w:after="0"/>
        <w:jc w:val="both"/>
        <w:rPr/>
      </w:pPr>
      <w:r>
        <w:rPr>
          <w:b/>
          <w:bCs/>
        </w:rPr>
        <w:tab/>
      </w:r>
      <w:r>
        <w:rPr>
          <w:rFonts w:eastAsia="Times New Roman" w:cs="Times New Roman"/>
          <w:b w:val="false"/>
          <w:bCs w:val="false"/>
          <w:color w:val="auto"/>
          <w:kern w:val="0"/>
          <w:sz w:val="24"/>
          <w:szCs w:val="24"/>
          <w:lang w:val="it-IT" w:eastAsia="it-IT" w:bidi="ar-SA"/>
        </w:rPr>
        <w:t>La</w:t>
      </w:r>
      <w:r>
        <w:rPr>
          <w:b w:val="false"/>
          <w:bCs w:val="false"/>
        </w:rPr>
        <w:t xml:space="preserve"> </w:t>
      </w:r>
      <w:r>
        <w:rPr>
          <w:b/>
          <w:bCs/>
        </w:rPr>
        <w:t xml:space="preserve">recita speciale di </w:t>
      </w:r>
      <w:r>
        <w:rPr>
          <w:b/>
          <w:bCs/>
        </w:rPr>
        <w:t xml:space="preserve">venerdì 2 ottobre </w:t>
      </w:r>
      <w:r>
        <w:rPr>
          <w:b/>
          <w:bCs/>
        </w:rPr>
        <w:t>sarà dunque riservata ai giovani tra i 18 e i 35 anni</w:t>
      </w:r>
      <w:r>
        <w:rPr>
          <w:b w:val="false"/>
          <w:bCs w:val="false"/>
        </w:rPr>
        <w:t xml:space="preserve">, che </w:t>
      </w:r>
      <w:r>
        <w:rPr>
          <w:rFonts w:eastAsia="Times New Roman" w:cs="Times New Roman"/>
          <w:b w:val="false"/>
          <w:bCs w:val="false"/>
          <w:color w:val="auto"/>
          <w:kern w:val="0"/>
          <w:sz w:val="24"/>
          <w:szCs w:val="24"/>
          <w:lang w:val="it-IT" w:eastAsia="it-IT" w:bidi="ar-SA"/>
        </w:rPr>
        <w:t>potranno</w:t>
      </w:r>
      <w:r>
        <w:rPr>
          <w:b w:val="false"/>
          <w:bCs w:val="false"/>
        </w:rPr>
        <w:t xml:space="preserve"> acquistare il proprio biglietto al </w:t>
      </w:r>
      <w:r>
        <w:rPr>
          <w:b/>
          <w:bCs/>
        </w:rPr>
        <w:t>costo super-agevolato di 10,00 €</w:t>
      </w:r>
      <w:r>
        <w:rPr>
          <w:b w:val="false"/>
          <w:bCs w:val="false"/>
        </w:rPr>
        <w:t xml:space="preserve">. Si tratta dell’ormai nota iniziativa promozionale nata con l’obiettivo di avvicinare le nuove generazioni alla musica classica e realizzata dal Teatro veneziano </w:t>
      </w:r>
      <w:r>
        <w:rPr>
          <w:rFonts w:eastAsia="Times New Roman" w:cs="Times New Roman"/>
          <w:b w:val="false"/>
          <w:bCs w:val="false"/>
          <w:color w:val="auto"/>
          <w:kern w:val="0"/>
          <w:sz w:val="24"/>
          <w:szCs w:val="24"/>
          <w:lang w:val="it-IT" w:eastAsia="it-IT" w:bidi="ar-SA"/>
        </w:rPr>
        <w:t xml:space="preserve">grazie al sostegno di </w:t>
      </w:r>
      <w:r>
        <w:rPr>
          <w:b w:val="false"/>
          <w:bCs w:val="false"/>
        </w:rPr>
        <w:t xml:space="preserve">McArthurGlen Noventa di Piave Designer Outlet </w:t>
      </w:r>
      <w:r>
        <w:rPr>
          <w:rFonts w:eastAsia="Times New Roman" w:cs="Times New Roman"/>
          <w:b w:val="false"/>
          <w:bCs w:val="false"/>
          <w:color w:val="auto"/>
          <w:kern w:val="0"/>
          <w:sz w:val="24"/>
          <w:szCs w:val="24"/>
          <w:lang w:val="it-IT" w:eastAsia="it-IT" w:bidi="ar-SA"/>
        </w:rPr>
        <w:t>e Bellussi Valdobbiadene.</w:t>
      </w:r>
    </w:p>
    <w:p>
      <w:pPr>
        <w:pStyle w:val="NormalWeb"/>
        <w:shd w:val="clear" w:color="auto" w:fill="FFFFFF" w:themeFill="background1"/>
        <w:spacing w:beforeAutospacing="0" w:before="0" w:afterAutospacing="0" w:after="0"/>
        <w:jc w:val="both"/>
        <w:rPr>
          <w:rFonts w:eastAsia="Times New Roman" w:cs="Times New Roman"/>
          <w:b w:val="false"/>
          <w:bCs w:val="false"/>
          <w:color w:val="auto"/>
          <w:kern w:val="0"/>
          <w:sz w:val="24"/>
          <w:szCs w:val="24"/>
          <w:lang w:val="it-IT" w:eastAsia="it-IT" w:bidi="ar-SA"/>
        </w:rPr>
      </w:pPr>
      <w:r>
        <w:rPr>
          <w:rFonts w:eastAsia="Times New Roman" w:cs="Times New Roman"/>
          <w:b w:val="false"/>
          <w:bCs w:val="false"/>
          <w:color w:val="auto"/>
          <w:kern w:val="0"/>
          <w:sz w:val="24"/>
          <w:szCs w:val="24"/>
          <w:lang w:val="it-IT" w:eastAsia="it-IT" w:bidi="ar-SA"/>
        </w:rPr>
        <w:tab/>
        <w:t xml:space="preserve">Tra i brani della seconda metà dell’Ottocento che maggiormente rappresentano la ‘passione’ dei musicisti </w:t>
      </w:r>
      <w:r>
        <w:rPr>
          <w:rFonts w:eastAsia="Times New Roman" w:cs="Times New Roman"/>
          <w:b w:val="false"/>
          <w:bCs w:val="false"/>
          <w:color w:val="auto"/>
          <w:kern w:val="0"/>
          <w:sz w:val="24"/>
          <w:szCs w:val="24"/>
          <w:lang w:val="it-IT" w:eastAsia="it-IT" w:bidi="ar-SA"/>
        </w:rPr>
        <w:t xml:space="preserve">russi </w:t>
      </w:r>
      <w:r>
        <w:rPr>
          <w:rFonts w:eastAsia="Times New Roman" w:cs="Times New Roman"/>
          <w:b w:val="false"/>
          <w:bCs w:val="false"/>
          <w:color w:val="auto"/>
          <w:kern w:val="0"/>
          <w:sz w:val="24"/>
          <w:szCs w:val="24"/>
          <w:lang w:val="it-IT" w:eastAsia="it-IT" w:bidi="ar-SA"/>
        </w:rPr>
        <w:t xml:space="preserve">per le atmosfere </w:t>
      </w:r>
      <w:r>
        <w:rPr>
          <w:rFonts w:eastAsia="Times New Roman" w:cs="Times New Roman"/>
          <w:b w:val="false"/>
          <w:bCs w:val="false"/>
          <w:color w:val="auto"/>
          <w:kern w:val="0"/>
          <w:sz w:val="24"/>
          <w:szCs w:val="24"/>
          <w:lang w:val="it-IT" w:eastAsia="it-IT" w:bidi="ar-SA"/>
        </w:rPr>
        <w:t>musical</w:t>
      </w:r>
      <w:r>
        <w:rPr>
          <w:rFonts w:eastAsia="Times New Roman" w:cs="Times New Roman"/>
          <w:b w:val="false"/>
          <w:bCs w:val="false"/>
          <w:color w:val="auto"/>
          <w:kern w:val="0"/>
          <w:sz w:val="24"/>
          <w:szCs w:val="24"/>
          <w:lang w:val="it-IT" w:eastAsia="it-IT" w:bidi="ar-SA"/>
        </w:rPr>
        <w:t>i</w:t>
      </w:r>
      <w:r>
        <w:rPr>
          <w:rFonts w:eastAsia="Times New Roman" w:cs="Times New Roman"/>
          <w:b w:val="false"/>
          <w:bCs w:val="false"/>
          <w:color w:val="auto"/>
          <w:kern w:val="0"/>
          <w:sz w:val="24"/>
          <w:szCs w:val="24"/>
          <w:lang w:val="it-IT" w:eastAsia="it-IT" w:bidi="ar-SA"/>
        </w:rPr>
        <w:t xml:space="preserve"> spagnol</w:t>
      </w:r>
      <w:r>
        <w:rPr>
          <w:rFonts w:eastAsia="Times New Roman" w:cs="Times New Roman"/>
          <w:b w:val="false"/>
          <w:bCs w:val="false"/>
          <w:color w:val="auto"/>
          <w:kern w:val="0"/>
          <w:sz w:val="24"/>
          <w:szCs w:val="24"/>
          <w:lang w:val="it-IT" w:eastAsia="it-IT" w:bidi="ar-SA"/>
        </w:rPr>
        <w:t>e</w:t>
      </w:r>
      <w:r>
        <w:rPr>
          <w:rFonts w:eastAsia="Times New Roman" w:cs="Times New Roman"/>
          <w:b w:val="false"/>
          <w:bCs w:val="false"/>
          <w:color w:val="auto"/>
          <w:kern w:val="0"/>
          <w:sz w:val="24"/>
          <w:szCs w:val="24"/>
          <w:lang w:val="it-IT" w:eastAsia="it-IT" w:bidi="ar-SA"/>
        </w:rPr>
        <w:t xml:space="preserve"> o spagnoleggiant</w:t>
      </w:r>
      <w:r>
        <w:rPr>
          <w:rFonts w:eastAsia="Times New Roman" w:cs="Times New Roman"/>
          <w:b w:val="false"/>
          <w:bCs w:val="false"/>
          <w:color w:val="auto"/>
          <w:kern w:val="0"/>
          <w:sz w:val="24"/>
          <w:szCs w:val="24"/>
          <w:lang w:val="it-IT" w:eastAsia="it-IT" w:bidi="ar-SA"/>
        </w:rPr>
        <w:t>i</w:t>
      </w:r>
      <w:r>
        <w:rPr>
          <w:rFonts w:eastAsia="Times New Roman" w:cs="Times New Roman"/>
          <w:b w:val="false"/>
          <w:bCs w:val="false"/>
          <w:color w:val="auto"/>
          <w:kern w:val="0"/>
          <w:sz w:val="24"/>
          <w:szCs w:val="24"/>
          <w:lang w:val="it-IT" w:eastAsia="it-IT" w:bidi="ar-SA"/>
        </w:rPr>
        <w:t xml:space="preserve"> </w:t>
      </w:r>
      <w:r>
        <w:rPr>
          <w:rFonts w:eastAsia="Times New Roman" w:cs="Times New Roman"/>
          <w:b w:val="false"/>
          <w:bCs w:val="false"/>
          <w:color w:val="auto"/>
          <w:kern w:val="0"/>
          <w:sz w:val="24"/>
          <w:szCs w:val="24"/>
          <w:lang w:val="it-IT" w:eastAsia="it-IT" w:bidi="ar-SA"/>
        </w:rPr>
        <w:t xml:space="preserve">si annovera senz’altro il </w:t>
      </w:r>
      <w:r>
        <w:rPr>
          <w:rFonts w:eastAsia="Times New Roman" w:cs="Times New Roman"/>
          <w:b w:val="false"/>
          <w:bCs w:val="false"/>
          <w:i/>
          <w:iCs/>
          <w:color w:val="auto"/>
          <w:kern w:val="0"/>
          <w:sz w:val="24"/>
          <w:szCs w:val="24"/>
          <w:lang w:val="it-IT" w:eastAsia="it-IT" w:bidi="ar-SA"/>
        </w:rPr>
        <w:t xml:space="preserve">Capriccio espagnol </w:t>
      </w:r>
      <w:r>
        <w:rPr>
          <w:rFonts w:eastAsia="Times New Roman" w:cs="Times New Roman"/>
          <w:b w:val="false"/>
          <w:bCs w:val="false"/>
          <w:i w:val="false"/>
          <w:iCs w:val="false"/>
          <w:color w:val="auto"/>
          <w:kern w:val="0"/>
          <w:sz w:val="24"/>
          <w:szCs w:val="24"/>
          <w:lang w:val="it-IT" w:eastAsia="it-IT" w:bidi="ar-SA"/>
        </w:rPr>
        <w:t xml:space="preserve">op. 34 </w:t>
      </w:r>
      <w:r>
        <w:rPr>
          <w:rFonts w:eastAsia="Times New Roman" w:cs="Times New Roman"/>
          <w:b w:val="false"/>
          <w:bCs w:val="false"/>
          <w:i w:val="false"/>
          <w:iCs w:val="false"/>
          <w:color w:val="auto"/>
          <w:kern w:val="0"/>
          <w:sz w:val="24"/>
          <w:szCs w:val="24"/>
          <w:lang w:val="it-IT" w:eastAsia="it-IT" w:bidi="ar-SA"/>
        </w:rPr>
        <w:t xml:space="preserve">di </w:t>
      </w:r>
      <w:r>
        <w:rPr>
          <w:rFonts w:eastAsia="Times New Roman" w:cs="Times New Roman"/>
          <w:b w:val="false"/>
          <w:bCs w:val="false"/>
          <w:i w:val="false"/>
          <w:iCs w:val="false"/>
          <w:color w:val="auto"/>
          <w:kern w:val="0"/>
          <w:sz w:val="24"/>
          <w:szCs w:val="24"/>
          <w:lang w:val="it-IT" w:eastAsia="it-IT" w:bidi="ar-SA"/>
        </w:rPr>
        <w:t xml:space="preserve">Nikolaj Rimskij-Korsakov </w:t>
      </w:r>
      <w:r>
        <w:rPr>
          <w:rFonts w:eastAsia="Times New Roman" w:cs="Times New Roman"/>
          <w:b w:val="false"/>
          <w:bCs w:val="false"/>
          <w:i w:val="false"/>
          <w:iCs w:val="false"/>
          <w:color w:val="auto"/>
          <w:kern w:val="0"/>
          <w:sz w:val="24"/>
          <w:szCs w:val="24"/>
          <w:lang w:val="it-IT" w:eastAsia="it-IT" w:bidi="ar-SA"/>
        </w:rPr>
        <w:t>(1844-1908)</w:t>
      </w:r>
      <w:r>
        <w:rPr>
          <w:rFonts w:eastAsia="Times New Roman" w:cs="Times New Roman"/>
          <w:b w:val="false"/>
          <w:bCs w:val="false"/>
          <w:i w:val="false"/>
          <w:iCs w:val="false"/>
          <w:color w:val="auto"/>
          <w:kern w:val="0"/>
          <w:sz w:val="24"/>
          <w:szCs w:val="24"/>
          <w:lang w:val="it-IT" w:eastAsia="it-IT" w:bidi="ar-SA"/>
        </w:rPr>
        <w:t xml:space="preserve">, </w:t>
      </w:r>
      <w:r>
        <w:rPr>
          <w:rFonts w:eastAsia="Times New Roman" w:cs="Times New Roman"/>
          <w:b w:val="false"/>
          <w:bCs w:val="false"/>
          <w:i w:val="false"/>
          <w:iCs w:val="false"/>
          <w:color w:val="auto"/>
          <w:kern w:val="0"/>
          <w:sz w:val="24"/>
          <w:szCs w:val="24"/>
          <w:lang w:val="it-IT" w:eastAsia="it-IT" w:bidi="ar-SA"/>
        </w:rPr>
        <w:t>un brano nato nel 1887, proprio nel</w:t>
      </w:r>
      <w:r>
        <w:rPr>
          <w:rFonts w:eastAsia="Times New Roman" w:cs="Times New Roman"/>
          <w:b w:val="false"/>
          <w:bCs w:val="false"/>
          <w:color w:val="auto"/>
          <w:kern w:val="0"/>
          <w:sz w:val="24"/>
          <w:szCs w:val="24"/>
          <w:lang w:val="it-IT" w:eastAsia="it-IT" w:bidi="ar-SA"/>
        </w:rPr>
        <w:t xml:space="preserve"> periodo </w:t>
      </w:r>
      <w:r>
        <w:rPr>
          <w:rFonts w:eastAsia="Times New Roman" w:cs="Times New Roman"/>
          <w:b w:val="false"/>
          <w:bCs w:val="false"/>
          <w:color w:val="auto"/>
          <w:kern w:val="0"/>
          <w:sz w:val="24"/>
          <w:szCs w:val="24"/>
          <w:lang w:val="it-IT" w:eastAsia="it-IT" w:bidi="ar-SA"/>
        </w:rPr>
        <w:t xml:space="preserve">in cui il compositore </w:t>
      </w:r>
      <w:r>
        <w:rPr>
          <w:rFonts w:eastAsia="Times New Roman" w:cs="Times New Roman"/>
          <w:b w:val="false"/>
          <w:bCs w:val="false"/>
          <w:color w:val="auto"/>
          <w:kern w:val="0"/>
          <w:sz w:val="24"/>
          <w:szCs w:val="24"/>
          <w:lang w:val="it-IT" w:eastAsia="it-IT" w:bidi="ar-SA"/>
        </w:rPr>
        <w:t xml:space="preserve">era totalmente conquistato dal fascino dell’esotico. </w:t>
      </w:r>
      <w:r>
        <w:rPr>
          <w:rFonts w:eastAsia="Times New Roman" w:cs="Times New Roman"/>
          <w:b w:val="false"/>
          <w:bCs w:val="false"/>
          <w:color w:val="auto"/>
          <w:kern w:val="0"/>
          <w:sz w:val="24"/>
          <w:szCs w:val="24"/>
          <w:lang w:val="it-IT" w:eastAsia="it-IT" w:bidi="ar-SA"/>
        </w:rPr>
        <w:t>T</w:t>
      </w:r>
      <w:r>
        <w:rPr>
          <w:rFonts w:eastAsia="Times New Roman" w:cs="Times New Roman"/>
          <w:b w:val="false"/>
          <w:bCs w:val="false"/>
          <w:color w:val="auto"/>
          <w:kern w:val="0"/>
          <w:sz w:val="24"/>
          <w:szCs w:val="24"/>
          <w:lang w:val="it-IT" w:eastAsia="it-IT" w:bidi="ar-SA"/>
        </w:rPr>
        <w:t>anto che subito dopo questo</w:t>
        <w:t xml:space="preserve"> brano </w:t>
      </w:r>
      <w:r>
        <w:rPr>
          <w:rFonts w:eastAsia="Times New Roman" w:cs="Times New Roman"/>
          <w:b w:val="false"/>
          <w:bCs w:val="false"/>
          <w:color w:val="auto"/>
          <w:kern w:val="0"/>
          <w:sz w:val="24"/>
          <w:szCs w:val="24"/>
          <w:lang w:val="it-IT" w:eastAsia="it-IT" w:bidi="ar-SA"/>
        </w:rPr>
        <w:t>nacque</w:t>
      </w:r>
      <w:r>
        <w:rPr>
          <w:rFonts w:eastAsia="Times New Roman" w:cs="Times New Roman"/>
          <w:b w:val="false"/>
          <w:bCs w:val="false"/>
          <w:color w:val="auto"/>
          <w:kern w:val="0"/>
          <w:sz w:val="24"/>
          <w:szCs w:val="24"/>
          <w:lang w:val="it-IT" w:eastAsia="it-IT" w:bidi="ar-SA"/>
        </w:rPr>
        <w:t xml:space="preserve"> compose l’orientaleggiante </w:t>
      </w:r>
      <w:r>
        <w:rPr>
          <w:rFonts w:eastAsia="Times New Roman" w:cs="Times New Roman"/>
          <w:b w:val="false"/>
          <w:bCs w:val="false"/>
          <w:i/>
          <w:iCs/>
          <w:color w:val="auto"/>
          <w:kern w:val="0"/>
          <w:sz w:val="24"/>
          <w:szCs w:val="24"/>
          <w:lang w:val="it-IT" w:eastAsia="it-IT" w:bidi="ar-SA"/>
        </w:rPr>
        <w:t>Shéhérazade</w:t>
      </w:r>
      <w:r>
        <w:rPr>
          <w:rFonts w:eastAsia="Times New Roman" w:cs="Times New Roman"/>
          <w:b w:val="false"/>
          <w:bCs w:val="false"/>
          <w:color w:val="auto"/>
          <w:kern w:val="0"/>
          <w:sz w:val="24"/>
          <w:szCs w:val="24"/>
          <w:lang w:val="it-IT" w:eastAsia="it-IT" w:bidi="ar-SA"/>
        </w:rPr>
        <w:t xml:space="preserve">. </w:t>
        <w:t xml:space="preserve">Diversamente da Glinka e Chabrier ma come Bizet, Rimskij-Korsakov non </w:t>
      </w:r>
      <w:r>
        <w:rPr>
          <w:rFonts w:eastAsia="Times New Roman" w:cs="Times New Roman"/>
          <w:b w:val="false"/>
          <w:bCs w:val="false"/>
          <w:color w:val="auto"/>
          <w:kern w:val="0"/>
          <w:sz w:val="24"/>
          <w:szCs w:val="24"/>
          <w:lang w:val="it-IT" w:eastAsia="it-IT" w:bidi="ar-SA"/>
        </w:rPr>
        <w:t>era</w:t>
      </w:r>
      <w:r>
        <w:rPr>
          <w:rFonts w:eastAsia="Times New Roman" w:cs="Times New Roman"/>
          <w:b w:val="false"/>
          <w:bCs w:val="false"/>
          <w:color w:val="auto"/>
          <w:kern w:val="0"/>
          <w:sz w:val="24"/>
          <w:szCs w:val="24"/>
          <w:lang w:val="it-IT" w:eastAsia="it-IT" w:bidi="ar-SA"/>
        </w:rPr>
        <w:t xml:space="preserve"> mai stato in Spagna, tranne che nell’improbabile caso che da  giovane abbia fatto un breve scalo in qualche porto della penisola iberica, </w:t>
        <w:t xml:space="preserve">quand’era ufficiale di marina. Ma questo non è importante, perché come </w:t>
        <w:t xml:space="preserve">tutti gli altri prese soltanto qualche spunto dalla autentica musica spagnola, che poteva essergli giunto per vie traverse, e per il resto lavorò di </w:t>
        <w:t xml:space="preserve">fantasia. Ma ciò non inficia assolutamente le meraviglie sciorinate in questi </w:t>
        <w:t>quindici minuti di musica.</w:t>
      </w:r>
    </w:p>
    <w:p>
      <w:pPr>
        <w:pStyle w:val="NormalWeb"/>
        <w:shd w:val="clear" w:color="auto" w:fill="FFFFFF" w:themeFill="background1"/>
        <w:spacing w:beforeAutospacing="0" w:before="0" w:afterAutospacing="0" w:after="0"/>
        <w:jc w:val="both"/>
        <w:rPr/>
      </w:pPr>
      <w:r>
        <w:rPr/>
        <w:tab/>
        <w:t xml:space="preserve">Composto nel 1939, pochi giorni prima dello scoppio della </w:t>
      </w:r>
      <w:r>
        <w:rPr/>
        <w:t>s</w:t>
      </w:r>
      <w:r>
        <w:rPr/>
        <w:t xml:space="preserve">econda guerra mondiale, il </w:t>
      </w:r>
      <w:r>
        <w:rPr>
          <w:i/>
          <w:iCs/>
        </w:rPr>
        <w:t>Concierto de Aranjuez</w:t>
      </w:r>
      <w:r>
        <w:rPr/>
        <w:t xml:space="preserve"> di Joaquín Rodrigo (1901-1999) è una delle pagine più celebri del repertorio per chitarra e orchestra. Il titolo richiama il Palazzo Reale di Aranjuez, nella città omonima affacciata sul fiume Tago, a sud-est di Madrid, luogo emblematico della storia della monarchia spagnola e teatro di vicende che hanno lasciato un segno nella storia europea. L'opera evoca idealmente l'atmosfera dei suoi giardini: come spiegò lo stesso Rodrigo, «è pensata per suonare come la brezza nascosta che agita le cime degli alberi nei parchi». Il concerto è spesso considerato una sorta di sintesi della tradizione musicale e culturale spagnola, grazie all'equilibrio tra il linguaggio orchestrale e il timbro inconfondibile della chitarra. Il celeberrimo tema del secondo movimento, divenuto patrimonio dell'immaginario collettivo, è stato ripreso e rielaborato da numerosi artisti appartenenti ai generi più diversi; in Italia è noto anche per la citazione che ne fece Fabrizio De André nella canzone </w:t>
      </w:r>
      <w:r>
        <w:rPr>
          <w:i/>
          <w:iCs/>
        </w:rPr>
        <w:t>Caro amore</w:t>
      </w:r>
      <w:r>
        <w:rPr/>
        <w:t>.</w:t>
      </w:r>
    </w:p>
    <w:p>
      <w:pPr>
        <w:pStyle w:val="NormalWeb"/>
        <w:shd w:val="clear" w:color="auto" w:fill="FFFFFF" w:themeFill="background1"/>
        <w:spacing w:beforeAutospacing="0" w:before="0" w:afterAutospacing="0" w:after="0"/>
        <w:ind w:firstLine="708"/>
        <w:jc w:val="both"/>
        <w:rPr/>
      </w:pPr>
      <w:r>
        <w:rPr/>
        <w:t xml:space="preserve">A concludere la serata saranno le </w:t>
      </w:r>
      <w:r>
        <w:rPr>
          <w:i/>
          <w:iCs/>
        </w:rPr>
        <w:t>Variations on an Original Theme</w:t>
      </w:r>
      <w:r>
        <w:rPr/>
        <w:t xml:space="preserve"> op. 36 di Edward Elgar (1857-1934), universalmente note come </w:t>
      </w:r>
      <w:r>
        <w:rPr>
          <w:i/>
          <w:iCs/>
        </w:rPr>
        <w:t>Enigma Variations</w:t>
      </w:r>
      <w:r>
        <w:rPr/>
        <w:t xml:space="preserve">. Compositore fecondo e versatile, Elgar conquistò la fama internazionale proprio grazie a questa partitura e alle sue celebri marce, rivelando, a poco più di quarant'anni, uno straordinario talento di orchestratore, affinato da una formazione in larga parte autodidatta. Fin dalla prima esecuzione, l'opera suscitò grande curiosità per l'originale fusione tra la forma classica della variazione e l'idea dell'«enigma», un mistero che il compositore non volle mai svelare completamente. La dedica posta sul frontespizio – </w:t>
      </w:r>
      <w:r>
        <w:rPr>
          <w:i/>
          <w:iCs/>
        </w:rPr>
        <w:t>To my friends pictured within</w:t>
      </w:r>
      <w:r>
        <w:rPr/>
        <w:t xml:space="preserve"> («Ai miei amici qui raffigurati») – chiarisce infatti che le quattordici variazioni sono ritratti musicali di persone appartenenti alla cerchia dell'autore. Il ciclo si apre con il ritratto della moglie Alice e si conclude con quello dello stesso Elgar, in una pagina ampia e brillantemente autoironica. Ciascuna variazione reca il nome o le iniziali del personaggio evocato, con l'unica eccezione della tredicesima, indicata semplicemente come </w:t>
      </w:r>
      <w:r>
        <w:rPr>
          <w:i/>
          <w:iCs/>
        </w:rPr>
        <w:t>Romanza</w:t>
      </w:r>
      <w:r>
        <w:rPr/>
        <w:t>, la cui identità rimane ancora oggi oggetto di interpretazioni e congetture.</w:t>
      </w:r>
    </w:p>
    <w:p>
      <w:pPr>
        <w:pStyle w:val="NormalWeb"/>
        <w:shd w:val="clear" w:color="auto" w:fill="FFFFFF" w:themeFill="background1"/>
        <w:spacing w:beforeAutospacing="0" w:before="0" w:afterAutospacing="0" w:after="0"/>
        <w:ind w:firstLine="708"/>
        <w:jc w:val="both"/>
        <w:rPr/>
      </w:pPr>
      <w:r>
        <w:rPr/>
        <w:t xml:space="preserve">In occasione dell’evento diretto da </w:t>
      </w:r>
      <w:r>
        <w:rPr/>
        <w:t>Neil Thomson</w:t>
      </w:r>
      <w:r>
        <w:rPr/>
        <w:t xml:space="preserve">, si rinnoverà il consueto appuntamento con le conferenze di approfondimento della Stagione Sinfonica: il concerto di </w:t>
      </w:r>
      <w:r>
        <w:rPr/>
        <w:t>giovedì</w:t>
      </w:r>
      <w:r>
        <w:rPr/>
        <w:t xml:space="preserve"> </w:t>
      </w:r>
      <w:r>
        <w:rPr/>
        <w:t>1</w:t>
      </w:r>
      <w:r>
        <w:rPr/>
        <w:t xml:space="preserve"> </w:t>
      </w:r>
      <w:r>
        <w:rPr/>
        <w:t>otto</w:t>
      </w:r>
      <w:r>
        <w:rPr/>
        <w:t>bre 2026 sarà infatti preceduto da un incontro a ingresso libero con il musicologo Roberto Mori, che dalle 19.20 alle ore 19.40 illustrerà il programma musicale della serata.</w:t>
      </w:r>
    </w:p>
    <w:p>
      <w:pPr>
        <w:pStyle w:val="NormalWeb"/>
        <w:shd w:val="clear" w:color="auto" w:fill="FFFFFF" w:themeFill="background1"/>
        <w:spacing w:beforeAutospacing="0" w:before="0" w:afterAutospacing="0" w:after="0"/>
        <w:ind w:firstLine="708"/>
        <w:jc w:val="both"/>
        <w:rPr/>
      </w:pPr>
      <w:r>
        <w:rPr/>
        <w:t xml:space="preserve">I biglietti per il concerto – da € 10,00 a € 90,00; riservato under35 (27 settembre) € 10,00 – sono acquistabili nella biglietteria del Teatro La Fenice e nei punti vendita Eventi Venezia Unica, tramite biglietteria telefonica (+39 041 2722699) e biglietteria </w:t>
      </w:r>
      <w:r>
        <w:rPr>
          <w:i/>
          <w:iCs/>
        </w:rPr>
        <w:t>online</w:t>
      </w:r>
      <w:r>
        <w:rPr/>
        <w:t xml:space="preserve"> su www.teatrolafenice.it. </w:t>
      </w:r>
    </w:p>
    <w:p>
      <w:pPr>
        <w:pStyle w:val="NormalWeb"/>
        <w:shd w:val="clear" w:color="auto" w:fill="FFFFFF" w:themeFill="background1"/>
        <w:spacing w:beforeAutospacing="0" w:before="0" w:afterAutospacing="0" w:after="0"/>
        <w:jc w:val="both"/>
        <w:rPr/>
      </w:pPr>
      <w:r>
        <w:rPr/>
      </w:r>
    </w:p>
    <w:p>
      <w:pPr>
        <w:pStyle w:val="Normal"/>
        <w:jc w:val="both"/>
        <w:rPr>
          <w:smallCaps/>
          <w:color w:val="222222"/>
          <w:sz w:val="22"/>
          <w:szCs w:val="22"/>
        </w:rPr>
      </w:pPr>
      <w:r>
        <w:rPr>
          <w:smallCaps/>
          <w:color w:val="222222"/>
          <w:sz w:val="22"/>
          <w:szCs w:val="22"/>
        </w:rPr>
        <w:t>n</w:t>
      </w:r>
      <w:r>
        <w:rPr>
          <w:smallCaps/>
          <w:color w:val="222222"/>
          <w:sz w:val="22"/>
          <w:szCs w:val="22"/>
        </w:rPr>
        <w:t xml:space="preserve">eil </w:t>
      </w:r>
      <w:r>
        <w:rPr>
          <w:smallCaps/>
          <w:color w:val="222222"/>
          <w:sz w:val="22"/>
          <w:szCs w:val="22"/>
        </w:rPr>
        <w:t>t</w:t>
      </w:r>
      <w:r>
        <w:rPr>
          <w:smallCaps/>
          <w:color w:val="222222"/>
          <w:sz w:val="22"/>
          <w:szCs w:val="22"/>
        </w:rPr>
        <w:t>homson</w:t>
      </w:r>
    </w:p>
    <w:p>
      <w:pPr>
        <w:pStyle w:val="Normal"/>
        <w:jc w:val="both"/>
        <w:rPr/>
      </w:pPr>
      <w:r>
        <w:rPr>
          <w:sz w:val="22"/>
          <w:szCs w:val="22"/>
        </w:rPr>
        <w:t>Nato a Londra nel 1966, ha studiato Violino e Viola alla Royal Academy of</w:t>
        <w:t xml:space="preserve"> Music (1984-1987) e direzione d’orchestra con Norman Del Mar al Royal </w:t>
        <w:t xml:space="preserve"> College of Music (1987-89). Nel 1989 ha seguito un corso di direzione </w:t>
        <w:t xml:space="preserve">d’orchestra presso la Tanglewood Summer School con insegnanti del calibro di Gustav Meier, Seiji Ozawa, Kurt Sanderling e Leonard Bernstein. </w:t>
        <w:t xml:space="preserve">Nel Regno Unito ha diretto la London Symphony Orchestra, la London </w:t>
        <w:t xml:space="preserve">Philharmonic Orchestra, la Philharmonia, la Royal Philharmonic Orchestra, la Royal Liverpool Philharmonic, la Royal Scottish National Orchestra, la Hallé Orchestra (Manchester), la </w:t>
      </w:r>
      <w:r>
        <w:rPr>
          <w:smallCaps/>
          <w:color w:val="222222"/>
          <w:sz w:val="22"/>
          <w:szCs w:val="22"/>
        </w:rPr>
        <w:t>bbc</w:t>
      </w:r>
      <w:r>
        <w:rPr>
          <w:sz w:val="22"/>
          <w:szCs w:val="22"/>
        </w:rPr>
        <w:t xml:space="preserve"> Symphony Orchestra, l’Ulster </w:t>
        <w:t xml:space="preserve">Orchestra e l’Orchestra of Welsh National Opera. Da marzo 2014 è direttore principale e direttore artistico dell’Orchestra Filarmonica di Goiás in </w:t>
        <w:t xml:space="preserve">Brasile. L’orchestra si è rapidamente guadagnata una solida reputazione per </w:t>
        <w:t xml:space="preserve">le sue performance dinamiche e il suo vasto repertorio. Nel 2018 l’orchestra ha eseguito la prima esecuzione sudamericana della monumentale </w:t>
      </w:r>
      <w:r>
        <w:rPr>
          <w:i/>
          <w:iCs/>
          <w:sz w:val="22"/>
          <w:szCs w:val="22"/>
        </w:rPr>
        <w:t xml:space="preserve">Des </w:t>
        <w:t xml:space="preserve">Canyons aux Étoiles </w:t>
      </w:r>
      <w:r>
        <w:rPr>
          <w:sz w:val="22"/>
          <w:szCs w:val="22"/>
        </w:rPr>
        <w:t xml:space="preserve">di Messiaen. La Filarmonica di Goiás è stata insignita </w:t>
        <w:t xml:space="preserve">dell’Ordine di Rio Branco (l’equivalente brasiliano della Legion d’Onore) </w:t>
        <w:t xml:space="preserve">dal Ministro degli Affari Esteri in riconoscimento del suo enorme contributo alla musica brasiliana. Tra le orchestre dirette negli ultimi anni figurano la Vienna Radio Symphony Orchestra, l’English Chamber Orchestra, la </w:t>
        <w:t xml:space="preserve">Seattle Symphony Orchestra, la Klassische Philharmonie Bonn, la Yomiuri Nippon Symphony Orchestra, la Tokyo Philharmonic, la Century Orchestra Osaka, la Kansai Philharmonic, la Sapporo Symphony Orchestra, </w:t>
        <w:t xml:space="preserve">la Kyushu Symphony Orchestra, la Lahti Sinfonia, la Romanian National </w:t>
        <w:t xml:space="preserve">Orchestra, la Britten Sinfonia, l’Ulster Orchestra, la </w:t>
      </w:r>
      <w:r>
        <w:rPr>
          <w:smallCaps/>
          <w:color w:val="222222"/>
          <w:sz w:val="22"/>
          <w:szCs w:val="22"/>
        </w:rPr>
        <w:t>rte</w:t>
      </w:r>
      <w:r>
        <w:rPr>
          <w:sz w:val="22"/>
          <w:szCs w:val="22"/>
        </w:rPr>
        <w:t xml:space="preserve"> Concert Orchestra, </w:t>
        <w:t xml:space="preserve">l’Orchestra dell’Opera di Göteborg, l’Aarhus Symphony Orchestra, l’Orchestra dell’Opera del Nord, l’Orchestra Sinfonica di San Paolo, l’Orchestra  Sinfonica Brasiliana, l’Orchestra Filarmonica di Minas Gerais, l’Orchestra </w:t>
        <w:t xml:space="preserve">Filarmonica di Buenos Aires, l’Orchestra Sinfonica Nazionale del Cile, l’Orchestra Sinfonica di Sanremo, l’Orchestra Sinfonica Siciliana, l’Orchestra </w:t>
        <w:t xml:space="preserve">Filarmonica di Jalisco, l’Orchestra Sinfonica di Bari e l’Orchestra Sinfonica </w:t>
        <w:t xml:space="preserve">di Gerusalemme. Si è esibito con numerosi solisti illustri, tra cui Nobuyuki </w:t>
        <w:t xml:space="preserve">Tsujii, Sir James Galway, Dame Moura Lympany, Sir Thomas Allen, Dame </w:t>
        <w:t xml:space="preserve">Felicity Lott, Philip Langridge, Antonio Meneses, Sarah Chang, Steven Isserlis, Julian Lloyd Webber, Nelson Freire, David Geringas, Natalie Clein, </w:t>
        <w:t xml:space="preserve">Gyorgy Pauk, Brett Dean, Jean-Philippe Collard, Stephen Hough, Peter Jablonski, Jean-Louis Steuerman, Dame Evelyn Glennie e Sir Richard Rodney </w:t>
      </w:r>
      <w:r>
        <w:rPr>
          <w:sz w:val="22"/>
          <w:szCs w:val="22"/>
        </w:rPr>
        <w:t>Bennett. Nel 2024 è stato nominato direttore artistico del Toyama International Contemporary Music Festival e della Sinfonia Toyam</w:t>
      </w:r>
      <w:r>
        <w:rPr>
          <w:sz w:val="22"/>
          <w:szCs w:val="22"/>
        </w:rPr>
        <w:t>a.</w:t>
      </w:r>
    </w:p>
    <w:p>
      <w:pPr>
        <w:pStyle w:val="Normal"/>
        <w:jc w:val="both"/>
        <w:rPr>
          <w:smallCaps/>
          <w:color w:val="222222"/>
          <w:sz w:val="22"/>
          <w:szCs w:val="22"/>
        </w:rPr>
      </w:pPr>
      <w:r>
        <w:rPr>
          <w:sz w:val="22"/>
          <w:szCs w:val="22"/>
        </w:rPr>
      </w:r>
    </w:p>
    <w:p>
      <w:pPr>
        <w:pStyle w:val="Normal"/>
        <w:jc w:val="both"/>
        <w:rPr>
          <w:smallCaps/>
          <w:color w:val="222222"/>
          <w:sz w:val="22"/>
          <w:szCs w:val="22"/>
        </w:rPr>
      </w:pPr>
      <w:r>
        <w:rPr>
          <w:smallCaps/>
          <w:color w:val="222222"/>
          <w:sz w:val="22"/>
          <w:szCs w:val="22"/>
        </w:rPr>
        <w:t>marco tamayo</w:t>
      </w:r>
    </w:p>
    <w:p>
      <w:pPr>
        <w:pStyle w:val="Normal"/>
        <w:jc w:val="both"/>
        <w:rPr/>
      </w:pPr>
      <w:r>
        <w:rPr>
          <w:sz w:val="22"/>
          <w:szCs w:val="22"/>
        </w:rPr>
        <w:t xml:space="preserve">Chitarrista cubano con cittadinanza austriaca, </w:t>
        <w:t xml:space="preserve">acclamato come «Il re della chitarra» («La Stampa» 1999), ha mantenuto la sua reputazione internazionale in tutti i campi della chitarra classica. Professore presso l’Universität der Künste </w:t>
        <w:t>Berlin (</w:t>
      </w:r>
      <w:r>
        <w:rPr>
          <w:smallCaps/>
          <w:color w:val="222222"/>
          <w:sz w:val="22"/>
          <w:szCs w:val="22"/>
        </w:rPr>
        <w:t>udk</w:t>
      </w:r>
      <w:r>
        <w:rPr>
          <w:sz w:val="22"/>
          <w:szCs w:val="22"/>
        </w:rPr>
        <w:t xml:space="preserve">), è vincitore di importanti concorsi </w:t>
      </w:r>
      <w:r>
        <w:rPr>
          <w:sz w:val="22"/>
          <w:szCs w:val="22"/>
        </w:rPr>
        <w:t xml:space="preserve">internazionali, tra cui Concorso Internazionale </w:t>
        <w:t xml:space="preserve">di Chitarra Michele Pittaluga - Città di Alessandria, Concorso Internazionale di Chitarra Andrés </w:t>
        <w:t xml:space="preserve">Segovia, Spagna, Vienna-Rust, Concorso Internazionale di Chitarra Nikita Koshkin, Concorso Internazionale di Chitarra Leo Brouwer a L’Avana. Solista di fama internazionale, collabora con diversi ensemble di musica da camera. Il suo repertorio include tutti gli stili ed è estremamente ampio. Il suo interesse per la </w:t>
        <w:t xml:space="preserve">composizione lo ha portato a creare nuova letteratura per lo strumento. Ha </w:t>
        <w:t xml:space="preserve">iniziato a suonare la chitarra a tre anni, ed è stato acclamato come bambino </w:t>
        <w:t xml:space="preserve">prodigio all’età di sei. La sua classe alla </w:t>
      </w:r>
      <w:r>
        <w:rPr>
          <w:smallCaps/>
          <w:color w:val="222222"/>
          <w:sz w:val="22"/>
          <w:szCs w:val="22"/>
        </w:rPr>
        <w:t>udk</w:t>
      </w:r>
      <w:r>
        <w:rPr>
          <w:sz w:val="22"/>
          <w:szCs w:val="22"/>
        </w:rPr>
        <w:t xml:space="preserve"> di Berlino è frequentata da </w:t>
        <w:t xml:space="preserve">chitarristi da tutto il mondo, molti oggi noti sulla scena internazionale. Il </w:t>
        <w:t>suo libro Essential Principles for the Interpretation on the Classical Guitar</w:t>
        <w:t xml:space="preserve"> </w:t>
      </w:r>
      <w:r>
        <w:rPr>
          <w:sz w:val="22"/>
          <w:szCs w:val="22"/>
        </w:rPr>
        <w:t>ha cambiato l’approccio all’insegnamento della chitarra classica.</w:t>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34" w:right="1134" w:gutter="0" w:header="680" w:top="737" w:footer="414"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Bodoni">
    <w:charset w:val="01"/>
    <w:family w:val="roman"/>
    <w:pitch w:val="variable"/>
  </w:font>
  <w:font w:name="Palatino">
    <w:charset w:val="01"/>
    <w:family w:val="roman"/>
    <w:pitch w:val="variable"/>
  </w:font>
  <w:font w:name="Liberation Sans">
    <w:altName w:val="Arial"/>
    <w:charset w:val="01"/>
    <w:family w:val="swiss"/>
    <w:pitch w:val="variable"/>
  </w:font>
  <w:font w:name="Liberation Sans">
    <w:altName w:val="Arial"/>
    <w:charset w:val="01"/>
    <w:family w:val="roman"/>
    <w:pitch w:val="variable"/>
  </w:font>
  <w:font w:name="Tahoma">
    <w:charset w:val="01"/>
    <w:family w:val="roman"/>
    <w:pitch w:val="variable"/>
  </w:font>
  <w:font w:name="The Sans Bold">
    <w:charset w:val="01"/>
    <w:family w:val="roman"/>
    <w:pitch w:val="variable"/>
  </w:font>
  <w:font w:name="Sabon">
    <w:charset w:val="01"/>
    <w:family w:val="roman"/>
    <w:pitch w:val="variable"/>
  </w:font>
  <w:font w:name="Lucida Grande">
    <w:charset w:val="01"/>
    <w:family w:val="roman"/>
    <w:pitch w:val="variable"/>
  </w:font>
  <w:font w:name="Helvetica Neue">
    <w:charset w:val="01"/>
    <w:family w:val="roman"/>
    <w:pitch w:val="variable"/>
  </w:font>
  <w:font w:name="Helvetica">
    <w:altName w:val="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firstLine="360" w:right="360"/>
      <w:rPr>
        <w:rStyle w:val="PageNumber"/>
      </w:rPr>
    </w:pPr>
    <w:r>
      <w:rPr/>
    </w:r>
  </w:p>
  <w:p>
    <w:pPr>
      <w:pStyle w:val="Footer"/>
      <w:ind w:firstLine="360" w:right="360"/>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ind w:firstLine="360" w:right="360"/>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szCs w:val="24"/>
        <w14:props3d w14:extrusionH="0" w14:contourW="0" w14:prstMaterial="matte"/>
      </w:rPr>
    </w:pPr>
    <w:r>
      <w:rPr>
        <w:szCs w:val="24"/>
        <w14:props3d w14:extrusionH="0" w14:contourW="0" w14:prstMaterial="matte"/>
      </w:rPr>
    </w:r>
  </w:p>
  <w:p>
    <w:pPr>
      <w:pStyle w:val="Footer"/>
      <w:rPr>
        <w:szCs w:val="24"/>
        <w14:props3d w14:extrusionH="0" w14:contourW="0" w14:prstMaterial="matte"/>
      </w:rPr>
    </w:pPr>
    <w:r>
      <w:rPr/>
      <w:drawing>
        <wp:inline distT="0" distB="0" distL="0" distR="0">
          <wp:extent cx="6299200" cy="355600"/>
          <wp:effectExtent l="0" t="0" r="0" b="0"/>
          <wp:docPr id="3" name="Immagine 3" descr="pro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prova 4"/>
                  <pic:cNvPicPr>
                    <a:picLocks noChangeAspect="1" noChangeArrowheads="1"/>
                  </pic:cNvPicPr>
                </pic:nvPicPr>
                <pic:blipFill>
                  <a:blip r:embed="rId1"/>
                  <a:stretch>
                    <a:fillRect/>
                  </a:stretch>
                </pic:blipFill>
                <pic:spPr bwMode="auto">
                  <a:xfrm>
                    <a:off x="0" y="0"/>
                    <a:ext cx="6299200" cy="355600"/>
                  </a:xfrm>
                  <a:prstGeom prst="rect">
                    <a:avLst/>
                  </a:prstGeom>
                  <a:noFill/>
                </pic:spPr>
              </pic:pic>
            </a:graphicData>
          </a:graphic>
        </wp:inline>
      </w:drawing>
    </w:r>
  </w:p>
  <w:p>
    <w:pPr>
      <w:pStyle w:val="Footer"/>
      <w:rPr>
        <w:szCs w:val="24"/>
        <w14:props3d w14:extrusionH="0" w14:contourW="0" w14:prstMaterial="matte"/>
      </w:rPr>
    </w:pPr>
    <w:r>
      <w:rPr>
        <w:szCs w:val="24"/>
        <w14:props3d w14:extrusionH="0" w14:contourW="0" w14:prstMaterial="matte"/>
      </w:rPr>
      <w:drawing>
        <wp:anchor behindDoc="1" distT="0" distB="0" distL="0" distR="0" simplePos="0" locked="0" layoutInCell="0" allowOverlap="1" relativeHeight="2">
          <wp:simplePos x="0" y="0"/>
          <wp:positionH relativeFrom="page">
            <wp:posOffset>2449195</wp:posOffset>
          </wp:positionH>
          <wp:positionV relativeFrom="paragraph">
            <wp:posOffset>136525</wp:posOffset>
          </wp:positionV>
          <wp:extent cx="200025" cy="200025"/>
          <wp:effectExtent l="0" t="0" r="0" b="0"/>
          <wp:wrapNone/>
          <wp:docPr id="4" name="Immagin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3" descr=""/>
                  <pic:cNvPicPr>
                    <a:picLocks noChangeAspect="1" noChangeArrowheads="1"/>
                  </pic:cNvPicPr>
                </pic:nvPicPr>
                <pic:blipFill>
                  <a:blip r:embed="rId2"/>
                  <a:stretch>
                    <a:fillRect/>
                  </a:stretch>
                </pic:blipFill>
                <pic:spPr bwMode="auto">
                  <a:xfrm>
                    <a:off x="0" y="0"/>
                    <a:ext cx="200025" cy="200025"/>
                  </a:xfrm>
                  <a:prstGeom prst="rect">
                    <a:avLst/>
                  </a:prstGeom>
                  <a:noFill/>
                </pic:spPr>
              </pic:pic>
            </a:graphicData>
          </a:graphic>
        </wp:anchor>
      </w:drawing>
      <w:drawing>
        <wp:anchor behindDoc="1" distT="0" distB="0" distL="0" distR="0" simplePos="0" locked="0" layoutInCell="0" allowOverlap="1" relativeHeight="3">
          <wp:simplePos x="0" y="0"/>
          <wp:positionH relativeFrom="page">
            <wp:posOffset>4625975</wp:posOffset>
          </wp:positionH>
          <wp:positionV relativeFrom="page">
            <wp:posOffset>10233025</wp:posOffset>
          </wp:positionV>
          <wp:extent cx="341630" cy="340360"/>
          <wp:effectExtent l="0" t="0" r="0" b="0"/>
          <wp:wrapNone/>
          <wp:docPr id="5" name="Immagin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4" descr=""/>
                  <pic:cNvPicPr>
                    <a:picLocks noChangeAspect="1" noChangeArrowheads="1"/>
                  </pic:cNvPicPr>
                </pic:nvPicPr>
                <pic:blipFill>
                  <a:blip r:embed="rId3"/>
                  <a:stretch>
                    <a:fillRect/>
                  </a:stretch>
                </pic:blipFill>
                <pic:spPr bwMode="auto">
                  <a:xfrm>
                    <a:off x="0" y="0"/>
                    <a:ext cx="341630" cy="340360"/>
                  </a:xfrm>
                  <a:prstGeom prst="rect">
                    <a:avLst/>
                  </a:prstGeom>
                  <a:noFill/>
                </pic:spPr>
              </pic:pic>
            </a:graphicData>
          </a:graphic>
        </wp:anchor>
      </w:drawing>
    </w:r>
  </w:p>
  <w:p>
    <w:pPr>
      <w:pStyle w:val="Footer"/>
      <w:tabs>
        <w:tab w:val="center" w:pos="1560" w:leader="none"/>
        <w:tab w:val="center" w:pos="4678" w:leader="none"/>
        <w:tab w:val="left" w:pos="6300" w:leader="none"/>
        <w:tab w:val="left" w:pos="6500" w:leader="none"/>
        <w:tab w:val="center" w:pos="7938" w:leader="none"/>
        <w:tab w:val="right" w:pos="9638" w:leader="none"/>
      </w:tabs>
      <w:jc w:val="left"/>
      <w:rPr>
        <w:rFonts w:ascii="Helvetica" w:hAnsi="Helvetica"/>
        <w:color w:val="003399"/>
        <w:sz w:val="14"/>
        <w14:props3d w14:extrusionH="0" w14:contourW="0" w14:prstMaterial="matte"/>
      </w:rPr>
    </w:pP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http://www.teatrolafenice.it</w:t>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http://www.facebook.com/LaFeniceufficiale</w:t>
    </w:r>
    <w:r>
      <w:rPr>
        <w:rFonts w:ascii="Helvetica" w:hAnsi="Helvetica"/>
        <w:sz w:val="14"/>
        <w14:props3d w14:extrusionH="0" w14:contourW="0" w14:prstMaterial="matte"/>
      </w:rPr>
      <w:tab/>
      <w:tab/>
      <w:tab/>
    </w:r>
    <w:r>
      <w:rPr>
        <w:rFonts w:ascii="Helvetica" w:hAnsi="Helvetica"/>
        <w:color w:val="003399"/>
        <w:sz w:val="14"/>
        <w14:props3d w14:extrusionH="0" w14:contourW="0" w14:prstMaterial="matte"/>
      </w:rPr>
      <w:t>https://twitter.com/TeatroLaFenice</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pPr>
    <w:r>
      <w:rPr/>
      <w:drawing>
        <wp:inline distT="0" distB="0" distL="0" distR="0">
          <wp:extent cx="1803400" cy="279400"/>
          <wp:effectExtent l="0" t="0" r="0" b="0"/>
          <wp:docPr id="1" name="Immagine 1" descr="/Users/../../AppData/Local/Microsoft/Windows/Temporary Internet Files/OLK868D/H_Hermes 2:123_Phenix_2011:Xx_Comunicato Stampa:LaFenic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Users/../../AppData/Local/Microsoft/Windows/Temporary Internet Files/OLK868D/H_Hermes 2:123_Phenix_2011:Xx_Comunicato Stampa:LaFenice_50.jpg"/>
                  <pic:cNvPicPr>
                    <a:picLocks noChangeAspect="1" noChangeArrowheads="1"/>
                  </pic:cNvPicPr>
                </pic:nvPicPr>
                <pic:blipFill>
                  <a:blip r:embed="rId1"/>
                  <a:stretch>
                    <a:fillRect/>
                  </a:stretch>
                </pic:blipFill>
                <pic:spPr bwMode="auto">
                  <a:xfrm>
                    <a:off x="0" y="0"/>
                    <a:ext cx="1803400" cy="279400"/>
                  </a:xfrm>
                  <a:prstGeom prst="rect">
                    <a:avLst/>
                  </a:prstGeom>
                  <a:noFill/>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drawing>
        <wp:inline distT="0" distB="0" distL="0" distR="0">
          <wp:extent cx="6184900" cy="1422400"/>
          <wp:effectExtent l="0" t="0" r="0" b="0"/>
          <wp:docPr id="2" name="Immagine 2" descr="/Users/../../AppData/Local/Microsoft/Windows/Temporary Internet Files/OLK868D/H_Hermes 2:123_Phenix_2011:Xx_Comunicato Stampa:Tes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Users/../../AppData/Local/Microsoft/Windows/Temporary Internet Files/OLK868D/H_Hermes 2:123_Phenix_2011:Xx_Comunicato Stampa:Test_1.jpg"/>
                  <pic:cNvPicPr>
                    <a:picLocks noChangeAspect="1" noChangeArrowheads="1"/>
                  </pic:cNvPicPr>
                </pic:nvPicPr>
                <pic:blipFill>
                  <a:blip r:embed="rId1"/>
                  <a:stretch>
                    <a:fillRect/>
                  </a:stretch>
                </pic:blipFill>
                <pic:spPr bwMode="auto">
                  <a:xfrm>
                    <a:off x="0" y="0"/>
                    <a:ext cx="6184900" cy="1422400"/>
                  </a:xfrm>
                  <a:prstGeom prst="rect">
                    <a:avLst/>
                  </a:prstGeom>
                  <a:noFill/>
                </pic:spPr>
              </pic:pic>
            </a:graphicData>
          </a:graphic>
        </wp:inline>
      </w:drawing>
    </w:r>
  </w:p>
</w:hdr>
</file>

<file path=word/settings.xml><?xml version="1.0" encoding="utf-8"?>
<w:settings xmlns:w="http://schemas.openxmlformats.org/wordprocessingml/2006/main">
  <w:zoom w:val="bestFit" w:percent="124"/>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zh-CN"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ef026b"/>
    <w:pPr>
      <w:widowControl/>
      <w:suppressAutoHyphens w:val="true"/>
      <w:bidi w:val="0"/>
      <w:spacing w:before="0" w:after="0"/>
      <w:jc w:val="left"/>
    </w:pPr>
    <w:rPr>
      <w:rFonts w:ascii="Times New Roman" w:hAnsi="Times New Roman" w:eastAsia="Times New Roman" w:cs="Times New Roman"/>
      <w:color w:val="auto"/>
      <w:kern w:val="0"/>
      <w:sz w:val="24"/>
      <w:szCs w:val="24"/>
      <w:lang w:val="it-IT" w:eastAsia="it-IT" w:bidi="ar-SA"/>
    </w:rPr>
  </w:style>
  <w:style w:type="paragraph" w:styleId="Heading1">
    <w:name w:val="heading 1"/>
    <w:basedOn w:val="Normal"/>
    <w:next w:val="Normal"/>
    <w:link w:val="Titolo1Carattere"/>
    <w:qFormat/>
    <w:pPr>
      <w:keepNext w:val="true"/>
      <w:jc w:val="both"/>
      <w:outlineLvl w:val="0"/>
    </w:pPr>
    <w:rPr>
      <w:rFonts w:ascii="Bodoni" w:hAnsi="Bodoni"/>
      <w:b/>
      <w:szCs w:val="20"/>
      <w:u w:val="single"/>
    </w:rPr>
  </w:style>
  <w:style w:type="paragraph" w:styleId="Heading2">
    <w:name w:val="heading 2"/>
    <w:basedOn w:val="Normal"/>
    <w:next w:val="Normal"/>
    <w:qFormat/>
    <w:rsid w:val="00364d15"/>
    <w:pPr>
      <w:keepNext w:val="true"/>
      <w:spacing w:before="360" w:after="360"/>
      <w:jc w:val="center"/>
      <w:outlineLvl w:val="1"/>
    </w:pPr>
    <w:rPr>
      <w:b/>
      <w:sz w:val="28"/>
      <w:szCs w:val="20"/>
    </w:rPr>
  </w:style>
  <w:style w:type="paragraph" w:styleId="Heading3">
    <w:name w:val="heading 3"/>
    <w:basedOn w:val="Normal"/>
    <w:next w:val="Normal"/>
    <w:qFormat/>
    <w:pPr>
      <w:keepNext w:val="true"/>
      <w:spacing w:before="360" w:after="60"/>
      <w:ind w:firstLine="709"/>
      <w:jc w:val="both"/>
      <w:outlineLvl w:val="2"/>
    </w:pPr>
    <w:rPr>
      <w:rFonts w:ascii="Palatino" w:hAnsi="Palatino"/>
      <w:b/>
      <w:sz w:val="28"/>
      <w:szCs w:val="20"/>
    </w:rPr>
  </w:style>
  <w:style w:type="paragraph" w:styleId="Heading4">
    <w:name w:val="heading 4"/>
    <w:basedOn w:val="Normal"/>
    <w:next w:val="Normal"/>
    <w:qFormat/>
    <w:pPr>
      <w:keepNext w:val="true"/>
      <w:ind w:firstLine="709"/>
      <w:jc w:val="center"/>
      <w:outlineLvl w:val="3"/>
    </w:pPr>
    <w:rPr>
      <w:b/>
      <w:sz w:val="56"/>
      <w:szCs w:val="20"/>
    </w:rPr>
  </w:style>
  <w:style w:type="paragraph" w:styleId="Heading5">
    <w:name w:val="heading 5"/>
    <w:basedOn w:val="Normal"/>
    <w:next w:val="Normal"/>
    <w:qFormat/>
    <w:pPr>
      <w:keepNext w:val="true"/>
      <w:ind w:firstLine="709"/>
      <w:jc w:val="right"/>
      <w:outlineLvl w:val="4"/>
    </w:pPr>
    <w:rPr>
      <w:b/>
      <w:sz w:val="18"/>
      <w:szCs w:val="20"/>
    </w:rPr>
  </w:style>
  <w:style w:type="paragraph" w:styleId="Heading6">
    <w:name w:val="heading 6"/>
    <w:basedOn w:val="Normal"/>
    <w:next w:val="Normal"/>
    <w:qFormat/>
    <w:pPr>
      <w:keepNext w:val="true"/>
      <w:tabs>
        <w:tab w:val="clear" w:pos="708"/>
        <w:tab w:val="left" w:pos="700" w:leader="none"/>
        <w:tab w:val="left" w:pos="1400" w:leader="none"/>
        <w:tab w:val="left" w:pos="2120" w:leader="none"/>
        <w:tab w:val="left" w:pos="2820" w:leader="none"/>
        <w:tab w:val="left" w:pos="3540" w:leader="none"/>
        <w:tab w:val="left" w:pos="4240" w:leader="none"/>
        <w:tab w:val="left" w:pos="4940" w:leader="none"/>
        <w:tab w:val="left" w:pos="5660" w:leader="none"/>
        <w:tab w:val="left" w:pos="6360" w:leader="none"/>
        <w:tab w:val="left" w:pos="7080" w:leader="none"/>
        <w:tab w:val="left" w:pos="7780" w:leader="none"/>
        <w:tab w:val="left" w:pos="8480" w:leader="none"/>
        <w:tab w:val="left" w:pos="9200" w:leader="none"/>
      </w:tabs>
      <w:spacing w:lineRule="atLeast" w:line="360"/>
      <w:ind w:firstLine="709"/>
      <w:jc w:val="center"/>
      <w:outlineLvl w:val="5"/>
    </w:pPr>
    <w:rPr>
      <w:b/>
      <w:color w:val="000000"/>
      <w:sz w:val="28"/>
      <w:szCs w:val="20"/>
    </w:rPr>
  </w:style>
  <w:style w:type="paragraph" w:styleId="Heading7">
    <w:name w:val="heading 7"/>
    <w:basedOn w:val="Normal"/>
    <w:next w:val="Normal"/>
    <w:qFormat/>
    <w:pPr>
      <w:keepNext w:val="true"/>
      <w:tabs>
        <w:tab w:val="clear" w:pos="708"/>
        <w:tab w:val="left" w:pos="700" w:leader="none"/>
        <w:tab w:val="left" w:pos="1400" w:leader="none"/>
        <w:tab w:val="left" w:pos="2120" w:leader="none"/>
        <w:tab w:val="left" w:pos="2820" w:leader="none"/>
        <w:tab w:val="left" w:pos="3540" w:leader="none"/>
        <w:tab w:val="left" w:pos="4240" w:leader="none"/>
        <w:tab w:val="left" w:pos="4940" w:leader="none"/>
        <w:tab w:val="left" w:pos="5660" w:leader="none"/>
        <w:tab w:val="left" w:pos="6360" w:leader="none"/>
        <w:tab w:val="left" w:pos="7080" w:leader="none"/>
        <w:tab w:val="left" w:pos="7780" w:leader="none"/>
        <w:tab w:val="left" w:pos="8480" w:leader="none"/>
        <w:tab w:val="left" w:pos="9200" w:leader="none"/>
      </w:tabs>
      <w:spacing w:lineRule="atLeast" w:line="360"/>
      <w:ind w:firstLine="709"/>
      <w:jc w:val="both"/>
      <w:outlineLvl w:val="6"/>
    </w:pPr>
    <w:rPr>
      <w:sz w:val="28"/>
      <w:szCs w:val="20"/>
      <w:lang w:eastAsia="ja-JP"/>
    </w:rPr>
  </w:style>
  <w:style w:type="paragraph" w:styleId="Heading8">
    <w:name w:val="heading 8"/>
    <w:basedOn w:val="Normal"/>
    <w:next w:val="Normal"/>
    <w:qFormat/>
    <w:pPr>
      <w:keepNext w:val="true"/>
      <w:spacing w:lineRule="atLeast" w:line="360"/>
      <w:ind w:firstLine="709"/>
      <w:jc w:val="both"/>
      <w:outlineLvl w:val="7"/>
    </w:pPr>
    <w:rPr>
      <w:b/>
      <w:color w:val="000000"/>
      <w:szCs w:val="20"/>
    </w:rPr>
  </w:style>
  <w:style w:type="paragraph" w:styleId="Heading9">
    <w:name w:val="heading 9"/>
    <w:basedOn w:val="Normal"/>
    <w:next w:val="Normal"/>
    <w:qFormat/>
    <w:pPr>
      <w:keepNext w:val="true"/>
      <w:ind w:firstLine="709"/>
      <w:jc w:val="both"/>
      <w:outlineLvl w:val="8"/>
    </w:pPr>
    <w:rPr>
      <w:sz w:val="48"/>
      <w:szCs w:val="20"/>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TestoCarattere" w:customStyle="1">
    <w:name w:val="Testo Carattere"/>
    <w:link w:val="Testo"/>
    <w:qFormat/>
    <w:rsid w:val="008c6757"/>
    <w:rPr>
      <w:sz w:val="24"/>
      <w:lang w:val="it-IT" w:eastAsia="it-IT" w:bidi="ar-SA"/>
    </w:rPr>
  </w:style>
  <w:style w:type="character" w:styleId="TitoliCarattere" w:customStyle="1">
    <w:name w:val="Titoli Carattere"/>
    <w:link w:val="Titoli"/>
    <w:qFormat/>
    <w:rsid w:val="000a27e6"/>
    <w:rPr>
      <w:smallCaps/>
      <w:sz w:val="24"/>
      <w:szCs w:val="24"/>
      <w:lang w:val="it-IT" w:eastAsia="it-IT" w:bidi="ar-SA"/>
    </w:rPr>
  </w:style>
  <w:style w:type="character" w:styleId="TestononindentatoCarattere" w:customStyle="1">
    <w:name w:val="Testo non indentato Carattere"/>
    <w:basedOn w:val="TestoCarattere"/>
    <w:link w:val="Testononindentato"/>
    <w:qFormat/>
    <w:rsid w:val="000a27e6"/>
    <w:rPr>
      <w:sz w:val="24"/>
      <w:lang w:val="it-IT" w:eastAsia="it-IT" w:bidi="ar-SA"/>
    </w:rPr>
  </w:style>
  <w:style w:type="character" w:styleId="Collegamentoipertestuale1" w:customStyle="1">
    <w:name w:val="Collegamento ipertestuale1"/>
    <w:basedOn w:val="DefaultParagraphFont"/>
    <w:uiPriority w:val="99"/>
    <w:unhideWhenUsed/>
    <w:qFormat/>
    <w:rsid w:val="00021de9"/>
    <w:rPr>
      <w:color w:val="0000FF"/>
      <w:u w:val="single"/>
    </w:rPr>
  </w:style>
  <w:style w:type="character" w:styleId="Collegamentovisitato1" w:customStyle="1">
    <w:name w:val="Collegamento visitato1"/>
    <w:qFormat/>
    <w:rsid w:val="000a28a3"/>
    <w:rPr>
      <w:color w:val="800080"/>
      <w:u w:val="single"/>
    </w:rPr>
  </w:style>
  <w:style w:type="character" w:styleId="A23" w:customStyle="1">
    <w:name w:val="A23"/>
    <w:uiPriority w:val="99"/>
    <w:qFormat/>
    <w:rsid w:val="009245f7"/>
    <w:rPr>
      <w:rFonts w:cs="The Sans Bold"/>
      <w:i/>
      <w:iCs/>
      <w:color w:val="57585A"/>
      <w:sz w:val="30"/>
      <w:szCs w:val="30"/>
    </w:rPr>
  </w:style>
  <w:style w:type="character" w:styleId="A0" w:customStyle="1">
    <w:name w:val="A0"/>
    <w:uiPriority w:val="99"/>
    <w:qFormat/>
    <w:rsid w:val="002e7402"/>
    <w:rPr>
      <w:rFonts w:cs="Sabon"/>
      <w:color w:val="221E1F"/>
      <w:sz w:val="22"/>
      <w:szCs w:val="22"/>
    </w:rPr>
  </w:style>
  <w:style w:type="character" w:styleId="A17" w:customStyle="1">
    <w:name w:val="A17"/>
    <w:uiPriority w:val="99"/>
    <w:qFormat/>
    <w:rsid w:val="00e4598e"/>
    <w:rPr>
      <w:rFonts w:cs="RoemischStehend"/>
      <w:color w:val="221E1F"/>
      <w:sz w:val="28"/>
      <w:szCs w:val="28"/>
    </w:rPr>
  </w:style>
  <w:style w:type="character" w:styleId="apple-converted-space" w:customStyle="1">
    <w:name w:val="apple-converted-space"/>
    <w:qFormat/>
    <w:rsid w:val="00a330e4"/>
    <w:rPr/>
  </w:style>
  <w:style w:type="character" w:styleId="Enfasicorsivo1" w:customStyle="1">
    <w:name w:val="Enfasi (corsivo)1"/>
    <w:basedOn w:val="DefaultParagraphFont"/>
    <w:uiPriority w:val="20"/>
    <w:qFormat/>
    <w:rsid w:val="006b44ac"/>
    <w:rPr>
      <w:i/>
      <w:iCs/>
    </w:rPr>
  </w:style>
  <w:style w:type="character" w:styleId="A7" w:customStyle="1">
    <w:name w:val="A7"/>
    <w:uiPriority w:val="99"/>
    <w:qFormat/>
    <w:rsid w:val="0042370d"/>
    <w:rPr>
      <w:rFonts w:cs="Sabon"/>
      <w:color w:val="000000"/>
    </w:rPr>
  </w:style>
  <w:style w:type="character" w:styleId="Titolo1Carattere" w:customStyle="1">
    <w:name w:val="Titolo 1 Carattere"/>
    <w:qFormat/>
    <w:rsid w:val="001662b4"/>
    <w:rPr>
      <w:rFonts w:ascii="Bodoni" w:hAnsi="Bodoni"/>
      <w:b/>
      <w:sz w:val="24"/>
      <w:u w:val="single"/>
      <w:lang w:eastAsia="it-IT"/>
    </w:rPr>
  </w:style>
  <w:style w:type="character" w:styleId="normaltextrun" w:customStyle="1">
    <w:name w:val="normaltextrun"/>
    <w:basedOn w:val="DefaultParagraphFont"/>
    <w:qFormat/>
    <w:rsid w:val="00d45b17"/>
    <w:rPr/>
  </w:style>
  <w:style w:type="character" w:styleId="spellingerror" w:customStyle="1">
    <w:name w:val="spellingerror"/>
    <w:basedOn w:val="DefaultParagraphFont"/>
    <w:qFormat/>
    <w:rsid w:val="00d45b17"/>
    <w:rPr/>
  </w:style>
  <w:style w:type="character" w:styleId="eop" w:customStyle="1">
    <w:name w:val="eop"/>
    <w:basedOn w:val="DefaultParagraphFont"/>
    <w:qFormat/>
    <w:rsid w:val="00d45b17"/>
    <w:rPr/>
  </w:style>
  <w:style w:type="character" w:styleId="italic" w:customStyle="1">
    <w:name w:val="italic"/>
    <w:basedOn w:val="DefaultParagraphFont"/>
    <w:qFormat/>
    <w:rsid w:val="00d209a3"/>
    <w:rPr/>
  </w:style>
  <w:style w:type="character" w:styleId="Strong">
    <w:name w:val="Strong"/>
    <w:basedOn w:val="DefaultParagraphFont"/>
    <w:uiPriority w:val="22"/>
    <w:qFormat/>
    <w:rsid w:val="00cf6f78"/>
    <w:rPr>
      <w:b/>
      <w:bCs/>
    </w:rPr>
  </w:style>
  <w:style w:type="character" w:styleId="Emphasis">
    <w:name w:val="Emphasis"/>
    <w:qFormat/>
    <w:rPr>
      <w:i/>
      <w:i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Unicode MS"/>
    </w:rPr>
  </w:style>
  <w:style w:type="paragraph" w:styleId="Titolo" w:customStyle="1">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Indice" w:customStyle="1">
    <w:name w:val="Indice"/>
    <w:basedOn w:val="Normal"/>
    <w:qFormat/>
    <w:pPr>
      <w:suppressLineNumbers/>
    </w:pPr>
    <w:rPr>
      <w:rFonts w:cs="Arial"/>
    </w:rPr>
  </w:style>
  <w:style w:type="paragraph" w:styleId="Title">
    <w:name w:val="Title"/>
    <w:basedOn w:val="Normal"/>
    <w:next w:val="BodyText"/>
    <w:qFormat/>
    <w:pPr>
      <w:keepNext w:val="true"/>
      <w:spacing w:before="240" w:after="120"/>
    </w:pPr>
    <w:rPr>
      <w:rFonts w:ascii="Liberation Sans" w:hAnsi="Liberation Sans" w:eastAsia="Microsoft YaHei" w:cs="Arial"/>
      <w:sz w:val="28"/>
      <w:szCs w:val="28"/>
    </w:rPr>
  </w:style>
  <w:style w:type="paragraph" w:styleId="caption1">
    <w:name w:val="caption1"/>
    <w:basedOn w:val="Normal"/>
    <w:qFormat/>
    <w:pPr>
      <w:suppressLineNumbers/>
      <w:spacing w:before="120" w:after="120"/>
    </w:pPr>
    <w:rPr>
      <w:rFonts w:cs="Arial"/>
      <w:i/>
      <w:iCs/>
    </w:rPr>
  </w:style>
  <w:style w:type="paragraph" w:styleId="caption11" w:customStyle="1">
    <w:name w:val="caption11"/>
    <w:basedOn w:val="Normal"/>
    <w:qFormat/>
    <w:pPr>
      <w:suppressLineNumbers/>
      <w:spacing w:before="120" w:after="120"/>
    </w:pPr>
    <w:rPr>
      <w:rFonts w:cs="Arial"/>
      <w:i/>
      <w:iCs/>
    </w:rPr>
  </w:style>
  <w:style w:type="paragraph" w:styleId="caption111" w:customStyle="1">
    <w:name w:val="caption111"/>
    <w:basedOn w:val="Normal"/>
    <w:qFormat/>
    <w:pPr>
      <w:suppressLineNumbers/>
      <w:spacing w:before="120" w:after="120"/>
    </w:pPr>
    <w:rPr>
      <w:rFonts w:cs="Arial"/>
      <w:i/>
      <w:iCs/>
    </w:rPr>
  </w:style>
  <w:style w:type="paragraph" w:styleId="Intestazioneepidipagina" w:customStyle="1">
    <w:name w:val="Intestazione e piè di pagina"/>
    <w:basedOn w:val="Normal"/>
    <w:qFormat/>
    <w:pPr/>
    <w:rPr/>
  </w:style>
  <w:style w:type="paragraph" w:styleId="HeaderandFooter">
    <w:name w:val="Header and Footer"/>
    <w:basedOn w:val="Normal"/>
    <w:qFormat/>
    <w:pPr/>
    <w:rPr/>
  </w:style>
  <w:style w:type="paragraph" w:styleId="Footer">
    <w:name w:val="footer"/>
    <w:basedOn w:val="Normal"/>
    <w:pPr>
      <w:tabs>
        <w:tab w:val="clear" w:pos="708"/>
        <w:tab w:val="right" w:pos="9638" w:leader="none"/>
      </w:tabs>
      <w:jc w:val="center"/>
    </w:pPr>
    <w:rPr>
      <w:rFonts w:ascii="Palatino" w:hAnsi="Palatino"/>
      <w:szCs w:val="20"/>
    </w:rPr>
  </w:style>
  <w:style w:type="paragraph" w:styleId="Header">
    <w:name w:val="header"/>
    <w:basedOn w:val="Normal"/>
    <w:pPr>
      <w:tabs>
        <w:tab w:val="clear" w:pos="708"/>
        <w:tab w:val="center" w:pos="4819" w:leader="none"/>
        <w:tab w:val="right" w:pos="9638" w:leader="none"/>
      </w:tabs>
      <w:ind w:firstLine="709"/>
      <w:jc w:val="both"/>
    </w:pPr>
    <w:rPr>
      <w:szCs w:val="20"/>
    </w:rPr>
  </w:style>
  <w:style w:type="paragraph" w:styleId="DocumentMap">
    <w:name w:val="Document Map"/>
    <w:basedOn w:val="Normal"/>
    <w:semiHidden/>
    <w:qFormat/>
    <w:rsid w:val="004320ec"/>
    <w:pPr>
      <w:shd w:val="clear" w:color="auto" w:fill="000080"/>
    </w:pPr>
    <w:rPr>
      <w:rFonts w:ascii="Tahoma" w:hAnsi="Tahoma" w:cs="Tahoma"/>
      <w:sz w:val="20"/>
    </w:rPr>
  </w:style>
  <w:style w:type="paragraph" w:styleId="Testo" w:customStyle="1">
    <w:name w:val="Testo"/>
    <w:basedOn w:val="caption1"/>
    <w:link w:val="TestoCarattere"/>
    <w:qFormat/>
    <w:pPr/>
    <w:rPr/>
  </w:style>
  <w:style w:type="paragraph" w:styleId="Titoli" w:customStyle="1">
    <w:name w:val="Titoli"/>
    <w:basedOn w:val="Normal"/>
    <w:link w:val="TitoliCarattere"/>
    <w:qFormat/>
    <w:rsid w:val="000a27e6"/>
    <w:pPr/>
    <w:rPr>
      <w:smallCaps/>
    </w:rPr>
  </w:style>
  <w:style w:type="paragraph" w:styleId="Testononindentato" w:customStyle="1">
    <w:name w:val="Testo non indentato"/>
    <w:basedOn w:val="Testo"/>
    <w:link w:val="TestononindentatoCarattere"/>
    <w:qFormat/>
    <w:rsid w:val="000a27e6"/>
    <w:pPr>
      <w:ind w:hanging="0"/>
    </w:pPr>
    <w:rPr/>
  </w:style>
  <w:style w:type="paragraph" w:styleId="Pa0" w:customStyle="1">
    <w:name w:val="Pa0"/>
    <w:basedOn w:val="Normal"/>
    <w:next w:val="Normal"/>
    <w:uiPriority w:val="99"/>
    <w:qFormat/>
    <w:rsid w:val="009245f7"/>
    <w:pPr>
      <w:widowControl w:val="false"/>
      <w:spacing w:lineRule="atLeast" w:line="241"/>
    </w:pPr>
    <w:rPr>
      <w:rFonts w:ascii="The Sans Bold" w:hAnsi="The Sans Bold" w:eastAsia="Calibri"/>
    </w:rPr>
  </w:style>
  <w:style w:type="paragraph" w:styleId="Default" w:customStyle="1">
    <w:name w:val="Default"/>
    <w:qFormat/>
    <w:rsid w:val="009245f7"/>
    <w:pPr>
      <w:widowControl w:val="false"/>
      <w:suppressAutoHyphens w:val="true"/>
      <w:bidi w:val="0"/>
      <w:spacing w:before="0" w:after="0"/>
      <w:jc w:val="left"/>
    </w:pPr>
    <w:rPr>
      <w:rFonts w:ascii="The Sans Bold" w:hAnsi="The Sans Bold" w:eastAsia="Calibri" w:cs="The Sans Bold"/>
      <w:color w:val="000000"/>
      <w:kern w:val="0"/>
      <w:sz w:val="24"/>
      <w:szCs w:val="24"/>
      <w:lang w:val="it-IT" w:eastAsia="it-IT" w:bidi="ar-SA"/>
    </w:rPr>
  </w:style>
  <w:style w:type="paragraph" w:styleId="Pa18" w:customStyle="1">
    <w:name w:val="Pa18"/>
    <w:basedOn w:val="Normal"/>
    <w:next w:val="Normal"/>
    <w:uiPriority w:val="99"/>
    <w:qFormat/>
    <w:rsid w:val="0042370d"/>
    <w:pPr>
      <w:widowControl w:val="false"/>
      <w:spacing w:lineRule="atLeast" w:line="321"/>
    </w:pPr>
    <w:rPr>
      <w:rFonts w:ascii="Sabon" w:hAnsi="Sabon" w:eastAsia="Calibri"/>
      <w:lang w:eastAsia="en-US"/>
    </w:rPr>
  </w:style>
  <w:style w:type="paragraph" w:styleId="p1" w:customStyle="1">
    <w:name w:val="p1"/>
    <w:basedOn w:val="Normal"/>
    <w:qFormat/>
    <w:rsid w:val="00f6158e"/>
    <w:pPr/>
    <w:rPr>
      <w:rFonts w:ascii="Lucida Grande" w:hAnsi="Lucida Grande" w:eastAsia="Calibri" w:cs="Lucida Grande"/>
      <w:color w:val="000000"/>
      <w:sz w:val="15"/>
      <w:szCs w:val="15"/>
    </w:rPr>
  </w:style>
  <w:style w:type="paragraph" w:styleId="paragraph" w:customStyle="1">
    <w:name w:val="paragraph"/>
    <w:basedOn w:val="Normal"/>
    <w:qFormat/>
    <w:rsid w:val="00d45b17"/>
    <w:pPr>
      <w:spacing w:beforeAutospacing="1" w:afterAutospacing="1"/>
    </w:pPr>
    <w:rPr/>
  </w:style>
  <w:style w:type="paragraph" w:styleId="NormalWeb">
    <w:name w:val="Normal (Web)"/>
    <w:basedOn w:val="Normal"/>
    <w:uiPriority w:val="99"/>
    <w:unhideWhenUsed/>
    <w:qFormat/>
    <w:rsid w:val="000e215e"/>
    <w:pPr>
      <w:spacing w:beforeAutospacing="1" w:afterAutospacing="1"/>
    </w:pPr>
    <w:rPr/>
  </w:style>
  <w:style w:type="paragraph" w:styleId="Didefault" w:customStyle="1">
    <w:name w:val="Di default"/>
    <w:qFormat/>
    <w:pPr>
      <w:widowControl/>
      <w:suppressAutoHyphens w:val="true"/>
      <w:bidi w:val="0"/>
      <w:spacing w:lineRule="auto" w:line="288" w:before="160" w:after="0"/>
      <w:jc w:val="left"/>
    </w:pPr>
    <w:rPr>
      <w:rFonts w:ascii="Helvetica Neue" w:hAnsi="Helvetica Neue" w:eastAsia="Arial Unicode MS" w:cs="Arial Unicode MS"/>
      <w:color w:val="000000"/>
      <w:kern w:val="0"/>
      <w:sz w:val="24"/>
      <w:szCs w:val="24"/>
      <w:lang w:val="it-IT" w:eastAsia="it-IT" w:bidi="ar-SA"/>
      <w14:textOutline w14:w="0" w14:cap="flat" w14:cmpd="sng" w14:algn="ctr">
        <w14:noFill/>
        <w14:prstDash w14:val="solid"/>
        <w14:bevel/>
      </w14:textOutline>
    </w:rPr>
  </w:style>
  <w:style w:type="numbering" w:styleId="NoList" w:default="1">
    <w:name w:val="No List"/>
    <w:uiPriority w:val="99"/>
    <w:semiHidden/>
    <w:unhideWhenUsed/>
    <w:qFormat/>
  </w:style>
  <w:style w:type="numbering" w:styleId="Nessunelenco" w:customStyle="1">
    <w:name w:val="Nessun elenco"/>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_rels/footer3.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 Id="rId3" Type="http://schemas.openxmlformats.org/officeDocument/2006/relationships/image" Target="media/image5.png"/>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5BA4A-A625-44BA-894F-3BD18384B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799</TotalTime>
  <Application>LibreOffice/25.2.3.1$MacOSX_X86_64 LibreOffice_project/d8d1af5f77df955194e52baabe19324532ac8e8b</Application>
  <AppVersion>15.0000</AppVersion>
  <Pages>3</Pages>
  <Words>1405</Words>
  <Characters>8400</Characters>
  <CharactersWithSpaces>9842</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2019-05-23T12:44:00Z</dcterms:created>
  <dc:creator>Elena</dc:creator>
  <dc:description/>
  <dc:language>it-IT</dc:language>
  <cp:lastModifiedBy/>
  <cp:lastPrinted>2023-07-03T14:47:00Z</cp:lastPrinted>
  <dcterms:modified xsi:type="dcterms:W3CDTF">2026-07-03T11:36:43Z</dcterms:modified>
  <cp:revision>1067</cp:revision>
  <dc:subject/>
  <dc:title>Comunicato.doc</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